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7B" w:rsidRDefault="00BF2F44">
      <w:pPr>
        <w:jc w:val="center"/>
      </w:pPr>
      <w:r>
        <w:rPr>
          <w:noProof/>
          <w:snapToGrid/>
          <w:sz w:val="20"/>
        </w:rPr>
        <mc:AlternateContent>
          <mc:Choice Requires="wps">
            <w:drawing>
              <wp:anchor distT="0" distB="0" distL="114300" distR="114300" simplePos="0" relativeHeight="251657728" behindDoc="0" locked="0" layoutInCell="1" allowOverlap="1" wp14:anchorId="6FBBEB62" wp14:editId="1741FFD2">
                <wp:simplePos x="0" y="0"/>
                <wp:positionH relativeFrom="column">
                  <wp:posOffset>0</wp:posOffset>
                </wp:positionH>
                <wp:positionV relativeFrom="margin">
                  <wp:posOffset>0</wp:posOffset>
                </wp:positionV>
                <wp:extent cx="5943600" cy="10287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99">
                            <a:alpha val="50000"/>
                          </a:srgbClr>
                        </a:solidFill>
                        <a:ln w="9525">
                          <a:solidFill>
                            <a:srgbClr val="000000"/>
                          </a:solidFill>
                          <a:miter lim="800000"/>
                          <a:headEnd/>
                          <a:tailEnd/>
                        </a:ln>
                      </wps:spPr>
                      <wps:txbx>
                        <w:txbxContent>
                          <w:p w:rsidR="00B96DB3" w:rsidRDefault="00B96DB3">
                            <w:pPr>
                              <w:pStyle w:val="Heading3"/>
                              <w:spacing w:after="120"/>
                              <w:jc w:val="center"/>
                              <w:rPr>
                                <w:rFonts w:ascii="Times New Roman" w:hAnsi="Times New Roman"/>
                                <w:b/>
                                <w:bCs/>
                                <w:color w:val="000000"/>
                                <w:sz w:val="40"/>
                              </w:rPr>
                            </w:pPr>
                            <w:r>
                              <w:rPr>
                                <w:rFonts w:ascii="Times New Roman" w:hAnsi="Times New Roman"/>
                                <w:b/>
                                <w:bCs/>
                                <w:color w:val="000000"/>
                                <w:sz w:val="40"/>
                              </w:rPr>
                              <w:t>Annual Management and Program Analysis Report</w:t>
                            </w:r>
                          </w:p>
                          <w:p w:rsidR="00B96DB3" w:rsidRDefault="00B96DB3">
                            <w:pPr>
                              <w:pStyle w:val="Heading7"/>
                            </w:pPr>
                            <w:r>
                              <w:t>Fiscal Year 2022-2023</w:t>
                            </w:r>
                          </w:p>
                          <w:p w:rsidR="00B96DB3" w:rsidRDefault="00B96D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BEB62" id="_x0000_t202" coordsize="21600,21600" o:spt="202" path="m,l,21600r21600,l21600,xe">
                <v:stroke joinstyle="miter"/>
                <v:path gradientshapeok="t" o:connecttype="rect"/>
              </v:shapetype>
              <v:shape id="Text Box 3" o:spid="_x0000_s1026" type="#_x0000_t202" style="position:absolute;left:0;text-align:left;margin-left:0;margin-top:0;width:46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" fillcolor="#ff9">
                <v:fill opacity="32896f"/>
                <v:textbox>
                  <w:txbxContent>
                    <w:p w:rsidR="00B96DB3" w:rsidRDefault="00B96DB3">
                      <w:pPr>
                        <w:pStyle w:val="Heading3"/>
                        <w:spacing w:after="120"/>
                        <w:jc w:val="center"/>
                        <w:rPr>
                          <w:rFonts w:ascii="Times New Roman" w:hAnsi="Times New Roman"/>
                          <w:b/>
                          <w:bCs/>
                          <w:color w:val="000000"/>
                          <w:sz w:val="40"/>
                        </w:rPr>
                      </w:pPr>
                      <w:r>
                        <w:rPr>
                          <w:rFonts w:ascii="Times New Roman" w:hAnsi="Times New Roman"/>
                          <w:b/>
                          <w:bCs/>
                          <w:color w:val="000000"/>
                          <w:sz w:val="40"/>
                        </w:rPr>
                        <w:t>Annual Management and Program Analysis Report</w:t>
                      </w:r>
                    </w:p>
                    <w:p w:rsidR="00B96DB3" w:rsidRDefault="00B96DB3">
                      <w:pPr>
                        <w:pStyle w:val="Heading7"/>
                      </w:pPr>
                      <w:r>
                        <w:t>Fiscal Year 2022-2023</w:t>
                      </w:r>
                    </w:p>
                    <w:p w:rsidR="00B96DB3" w:rsidRDefault="00B96DB3"/>
                  </w:txbxContent>
                </v:textbox>
                <w10:wrap type="topAndBottom" anchory="margin"/>
              </v:shape>
            </w:pict>
          </mc:Fallback>
        </mc:AlternateContent>
      </w:r>
    </w:p>
    <w:p w:rsidR="007B1C7B" w:rsidRDefault="007B1C7B">
      <w:pPr>
        <w:pStyle w:val="BodyTextIndent3"/>
        <w:tabs>
          <w:tab w:val="clear" w:pos="360"/>
          <w:tab w:val="left" w:pos="1080"/>
          <w:tab w:val="left" w:pos="1440"/>
        </w:tabs>
        <w:ind w:left="0" w:firstLine="0"/>
        <w:jc w:val="both"/>
        <w:rPr>
          <w:sz w:val="28"/>
        </w:rPr>
      </w:pPr>
    </w:p>
    <w:p w:rsidR="007B1C7B" w:rsidRDefault="007B1C7B">
      <w:pPr>
        <w:pStyle w:val="BodyTextIndent3"/>
        <w:tabs>
          <w:tab w:val="clear" w:pos="360"/>
          <w:tab w:val="left" w:pos="1080"/>
          <w:tab w:val="left" w:pos="1440"/>
        </w:tabs>
        <w:ind w:left="0" w:firstLine="0"/>
        <w:jc w:val="both"/>
        <w:rPr>
          <w:sz w:val="28"/>
        </w:rPr>
      </w:pPr>
      <w:r>
        <w:rPr>
          <w:b/>
          <w:bCs/>
          <w:sz w:val="28"/>
        </w:rPr>
        <w:t xml:space="preserve">Department:  </w:t>
      </w:r>
      <w:r w:rsidR="009216D2">
        <w:rPr>
          <w:b/>
          <w:bCs/>
          <w:sz w:val="28"/>
        </w:rPr>
        <w:t>Transportation and Development</w:t>
      </w:r>
      <w:r w:rsidR="00003F80">
        <w:rPr>
          <w:b/>
          <w:bCs/>
          <w:sz w:val="28"/>
        </w:rPr>
        <w:t xml:space="preserve"> (DOTD)</w:t>
      </w:r>
    </w:p>
    <w:p w:rsidR="007B1C7B" w:rsidRDefault="007B1C7B">
      <w:pPr>
        <w:pStyle w:val="BodyTextIndent3"/>
        <w:tabs>
          <w:tab w:val="clear" w:pos="360"/>
          <w:tab w:val="left" w:pos="1080"/>
          <w:tab w:val="left" w:pos="1440"/>
        </w:tabs>
        <w:ind w:left="0" w:firstLine="0"/>
        <w:jc w:val="both"/>
        <w:rPr>
          <w:sz w:val="28"/>
        </w:rPr>
      </w:pPr>
    </w:p>
    <w:p w:rsidR="007B1C7B" w:rsidRDefault="007B1C7B">
      <w:pPr>
        <w:pStyle w:val="BodyTextIndent3"/>
        <w:tabs>
          <w:tab w:val="clear" w:pos="360"/>
          <w:tab w:val="left" w:pos="1080"/>
          <w:tab w:val="left" w:pos="1440"/>
        </w:tabs>
        <w:ind w:left="0" w:firstLine="0"/>
        <w:jc w:val="both"/>
      </w:pPr>
      <w:r>
        <w:rPr>
          <w:b/>
          <w:bCs/>
          <w:sz w:val="28"/>
        </w:rPr>
        <w:t>Department Head:</w:t>
      </w:r>
      <w:r>
        <w:rPr>
          <w:sz w:val="28"/>
        </w:rPr>
        <w:tab/>
      </w:r>
      <w:r w:rsidR="009F09D5">
        <w:rPr>
          <w:sz w:val="28"/>
        </w:rPr>
        <w:tab/>
      </w:r>
      <w:r w:rsidR="009F09D5">
        <w:rPr>
          <w:sz w:val="28"/>
        </w:rPr>
        <w:tab/>
      </w:r>
      <w:r>
        <w:t>Name:</w:t>
      </w:r>
      <w:r w:rsidR="00003F80">
        <w:tab/>
      </w:r>
      <w:r w:rsidR="002F5B83">
        <w:t xml:space="preserve">Eric </w:t>
      </w:r>
      <w:proofErr w:type="spellStart"/>
      <w:r w:rsidR="002F5B83">
        <w:t>Kalivoda</w:t>
      </w:r>
      <w:proofErr w:type="spellEnd"/>
    </w:p>
    <w:p w:rsidR="007B1C7B" w:rsidRDefault="007B1C7B">
      <w:pPr>
        <w:pStyle w:val="BodyTextIndent3"/>
        <w:tabs>
          <w:tab w:val="left" w:pos="720"/>
          <w:tab w:val="left" w:pos="1080"/>
          <w:tab w:val="left" w:pos="1440"/>
          <w:tab w:val="left" w:pos="1800"/>
          <w:tab w:val="left" w:pos="2160"/>
          <w:tab w:val="left" w:pos="2520"/>
          <w:tab w:val="left" w:pos="2880"/>
        </w:tabs>
        <w:ind w:left="0" w:firstLine="0"/>
        <w:jc w:val="both"/>
      </w:pPr>
      <w:r>
        <w:tab/>
      </w:r>
      <w:r>
        <w:tab/>
      </w:r>
      <w:r>
        <w:tab/>
      </w:r>
      <w:r>
        <w:tab/>
      </w:r>
      <w:r>
        <w:tab/>
      </w:r>
      <w:r>
        <w:tab/>
      </w:r>
      <w:r>
        <w:tab/>
      </w:r>
      <w:r>
        <w:tab/>
      </w:r>
      <w:r w:rsidR="009F09D5">
        <w:tab/>
      </w:r>
      <w:r w:rsidR="009F09D5">
        <w:tab/>
      </w:r>
      <w:r>
        <w:t>Title:</w:t>
      </w:r>
      <w:r w:rsidR="009216D2">
        <w:t xml:space="preserve">  </w:t>
      </w:r>
      <w:r w:rsidR="00003F80">
        <w:tab/>
      </w:r>
      <w:r w:rsidR="009216D2">
        <w:t>Secretary</w:t>
      </w:r>
    </w:p>
    <w:p w:rsidR="007B1C7B" w:rsidRDefault="007B1C7B">
      <w:pPr>
        <w:pStyle w:val="BodyTextIndent3"/>
        <w:tabs>
          <w:tab w:val="left" w:pos="720"/>
          <w:tab w:val="left" w:pos="1080"/>
          <w:tab w:val="left" w:pos="1440"/>
          <w:tab w:val="left" w:pos="1800"/>
          <w:tab w:val="left" w:pos="2160"/>
          <w:tab w:val="left" w:pos="2520"/>
          <w:tab w:val="left" w:pos="2880"/>
        </w:tabs>
        <w:ind w:left="0" w:firstLine="0"/>
        <w:jc w:val="both"/>
      </w:pPr>
    </w:p>
    <w:p w:rsidR="007B1C7B" w:rsidRDefault="007466EC">
      <w:pPr>
        <w:pStyle w:val="BodyTextIndent3"/>
        <w:tabs>
          <w:tab w:val="left" w:pos="720"/>
          <w:tab w:val="left" w:pos="1080"/>
          <w:tab w:val="left" w:pos="1440"/>
          <w:tab w:val="left" w:pos="1800"/>
          <w:tab w:val="left" w:pos="2160"/>
          <w:tab w:val="left" w:pos="2520"/>
          <w:tab w:val="left" w:pos="2880"/>
          <w:tab w:val="left" w:pos="3240"/>
          <w:tab w:val="left" w:pos="3600"/>
          <w:tab w:val="left" w:pos="3960"/>
          <w:tab w:val="left" w:pos="4320"/>
        </w:tabs>
        <w:ind w:left="0" w:firstLine="0"/>
        <w:jc w:val="both"/>
      </w:pPr>
      <w:r>
        <w:rPr>
          <w:b/>
          <w:bCs/>
          <w:sz w:val="28"/>
        </w:rPr>
        <w:t>Undersecretary</w:t>
      </w:r>
      <w:r w:rsidR="007B1C7B">
        <w:rPr>
          <w:b/>
          <w:bCs/>
          <w:sz w:val="28"/>
        </w:rPr>
        <w:t xml:space="preserve"> (or Equivalent):</w:t>
      </w:r>
      <w:r w:rsidR="007B1C7B">
        <w:rPr>
          <w:sz w:val="28"/>
        </w:rPr>
        <w:tab/>
      </w:r>
      <w:r w:rsidR="00060EB1">
        <w:rPr>
          <w:sz w:val="28"/>
        </w:rPr>
        <w:tab/>
      </w:r>
      <w:r w:rsidR="007B1C7B">
        <w:t>Name:</w:t>
      </w:r>
      <w:r w:rsidR="00003F80">
        <w:tab/>
      </w:r>
      <w:r>
        <w:t xml:space="preserve">Don </w:t>
      </w:r>
      <w:r w:rsidR="0087510F">
        <w:t xml:space="preserve">C. </w:t>
      </w:r>
      <w:bookmarkStart w:id="0" w:name="_GoBack"/>
      <w:bookmarkEnd w:id="0"/>
      <w:r>
        <w:t>Johnson</w:t>
      </w:r>
      <w:r w:rsidR="009216D2">
        <w:tab/>
      </w:r>
    </w:p>
    <w:p w:rsidR="007B1C7B" w:rsidRDefault="007B1C7B">
      <w:pPr>
        <w:pStyle w:val="BodyTextIndent3"/>
        <w:tabs>
          <w:tab w:val="left" w:pos="720"/>
          <w:tab w:val="left" w:pos="1080"/>
          <w:tab w:val="left" w:pos="1440"/>
          <w:tab w:val="left" w:pos="1800"/>
          <w:tab w:val="left" w:pos="2160"/>
          <w:tab w:val="left" w:pos="2520"/>
          <w:tab w:val="left" w:pos="2880"/>
          <w:tab w:val="left" w:pos="3240"/>
          <w:tab w:val="left" w:pos="3600"/>
          <w:tab w:val="left" w:pos="3960"/>
          <w:tab w:val="left" w:pos="4320"/>
        </w:tabs>
        <w:ind w:left="0" w:firstLine="0"/>
        <w:jc w:val="both"/>
      </w:pPr>
      <w:r>
        <w:tab/>
      </w:r>
      <w:r>
        <w:tab/>
      </w:r>
      <w:r>
        <w:tab/>
      </w:r>
      <w:r>
        <w:tab/>
      </w:r>
      <w:r>
        <w:tab/>
      </w:r>
      <w:r>
        <w:tab/>
      </w:r>
      <w:r>
        <w:tab/>
      </w:r>
      <w:r>
        <w:tab/>
      </w:r>
      <w:r>
        <w:tab/>
      </w:r>
      <w:r>
        <w:tab/>
      </w:r>
      <w:r>
        <w:tab/>
      </w:r>
      <w:r>
        <w:tab/>
        <w:t>Title:</w:t>
      </w:r>
      <w:r w:rsidR="007466EC">
        <w:t xml:space="preserve">  </w:t>
      </w:r>
      <w:r w:rsidR="00003F80">
        <w:tab/>
      </w:r>
      <w:r w:rsidR="007466EC">
        <w:t>Undersecretary</w:t>
      </w:r>
    </w:p>
    <w:p w:rsidR="007B1C7B" w:rsidRDefault="007B1C7B">
      <w:pPr>
        <w:pStyle w:val="BodyTextIndent3"/>
        <w:tabs>
          <w:tab w:val="clear" w:pos="360"/>
          <w:tab w:val="left" w:pos="1080"/>
          <w:tab w:val="left" w:pos="1440"/>
        </w:tabs>
        <w:ind w:left="0" w:firstLine="0"/>
        <w:jc w:val="both"/>
        <w:rPr>
          <w:sz w:val="28"/>
        </w:rPr>
      </w:pPr>
    </w:p>
    <w:p w:rsidR="007B1C7B" w:rsidRDefault="007B1C7B">
      <w:pPr>
        <w:pStyle w:val="BodyTextIndent3"/>
        <w:tabs>
          <w:tab w:val="clear" w:pos="360"/>
          <w:tab w:val="left" w:pos="1080"/>
          <w:tab w:val="left" w:pos="1440"/>
        </w:tabs>
        <w:ind w:left="0" w:firstLine="0"/>
        <w:jc w:val="both"/>
        <w:rPr>
          <w:sz w:val="28"/>
        </w:rPr>
      </w:pPr>
    </w:p>
    <w:p w:rsidR="007B1C7B" w:rsidRDefault="007B1C7B">
      <w:pPr>
        <w:pStyle w:val="H4"/>
        <w:keepNext w:val="0"/>
        <w:tabs>
          <w:tab w:val="left" w:pos="360"/>
          <w:tab w:val="left" w:pos="540"/>
          <w:tab w:val="left" w:pos="720"/>
          <w:tab w:val="left" w:pos="1080"/>
          <w:tab w:val="left" w:pos="1440"/>
          <w:tab w:val="left" w:pos="1800"/>
          <w:tab w:val="left" w:pos="2160"/>
        </w:tabs>
        <w:spacing w:before="0" w:after="0"/>
        <w:ind w:left="540" w:hanging="540"/>
        <w:jc w:val="both"/>
        <w:outlineLvl w:val="9"/>
        <w:rPr>
          <w:b w:val="0"/>
          <w:bCs/>
        </w:rPr>
      </w:pPr>
      <w:r>
        <w:rPr>
          <w:sz w:val="28"/>
        </w:rPr>
        <w:t>I.</w:t>
      </w:r>
      <w:r>
        <w:rPr>
          <w:sz w:val="28"/>
        </w:rPr>
        <w:tab/>
      </w:r>
      <w:r>
        <w:rPr>
          <w:sz w:val="28"/>
        </w:rPr>
        <w:tab/>
        <w:t xml:space="preserve">What outstanding accomplishments did your department achieve during the previous fiscal year?  </w:t>
      </w:r>
    </w:p>
    <w:p w:rsidR="007B1C7B" w:rsidRDefault="007B1C7B">
      <w:pPr>
        <w:pStyle w:val="H4"/>
        <w:keepNext w:val="0"/>
        <w:tabs>
          <w:tab w:val="left" w:pos="720"/>
          <w:tab w:val="left" w:pos="1080"/>
          <w:tab w:val="left" w:pos="1440"/>
          <w:tab w:val="left" w:pos="1800"/>
          <w:tab w:val="left" w:pos="2160"/>
        </w:tabs>
        <w:spacing w:before="0" w:after="0"/>
        <w:jc w:val="both"/>
        <w:outlineLvl w:val="9"/>
        <w:rPr>
          <w:b w:val="0"/>
          <w:bCs/>
        </w:rPr>
      </w:pPr>
    </w:p>
    <w:p w:rsidR="007B1C7B" w:rsidRDefault="007B1C7B">
      <w:pPr>
        <w:pStyle w:val="H4"/>
        <w:keepNext w:val="0"/>
        <w:tabs>
          <w:tab w:val="left" w:pos="540"/>
          <w:tab w:val="left" w:pos="720"/>
          <w:tab w:val="left" w:pos="1080"/>
          <w:tab w:val="left" w:pos="1440"/>
          <w:tab w:val="left" w:pos="1800"/>
          <w:tab w:val="left" w:pos="2160"/>
        </w:tabs>
        <w:spacing w:before="0" w:after="0"/>
        <w:ind w:left="360"/>
        <w:jc w:val="both"/>
        <w:outlineLvl w:val="9"/>
        <w:rPr>
          <w:b w:val="0"/>
          <w:bCs/>
        </w:rPr>
      </w:pPr>
      <w:r>
        <w:tab/>
        <w:t>For each accomplishment, please discuss and explain:</w:t>
      </w:r>
    </w:p>
    <w:p w:rsidR="007B1C7B" w:rsidRDefault="007B1C7B">
      <w:pPr>
        <w:pStyle w:val="H4"/>
        <w:keepNext w:val="0"/>
        <w:tabs>
          <w:tab w:val="left" w:pos="720"/>
          <w:tab w:val="left" w:pos="1080"/>
          <w:tab w:val="left" w:pos="1440"/>
          <w:tab w:val="left" w:pos="1800"/>
          <w:tab w:val="left" w:pos="2160"/>
        </w:tabs>
        <w:spacing w:before="0" w:after="0"/>
        <w:jc w:val="both"/>
        <w:outlineLvl w:val="9"/>
        <w:rPr>
          <w:b w:val="0"/>
          <w:bCs/>
        </w:rPr>
      </w:pPr>
    </w:p>
    <w:p w:rsidR="007B1C7B" w:rsidRDefault="007B1C7B" w:rsidP="00967A45">
      <w:pPr>
        <w:pStyle w:val="H4"/>
        <w:keepNext w:val="0"/>
        <w:numPr>
          <w:ilvl w:val="0"/>
          <w:numId w:val="5"/>
        </w:numPr>
        <w:tabs>
          <w:tab w:val="left" w:pos="360"/>
          <w:tab w:val="left" w:pos="540"/>
          <w:tab w:val="left" w:pos="1080"/>
          <w:tab w:val="left" w:pos="1440"/>
          <w:tab w:val="left" w:pos="1800"/>
          <w:tab w:val="left" w:pos="2160"/>
        </w:tabs>
        <w:spacing w:before="0" w:after="0"/>
        <w:jc w:val="both"/>
        <w:outlineLvl w:val="9"/>
        <w:rPr>
          <w:b w:val="0"/>
          <w:bCs/>
        </w:rPr>
      </w:pPr>
      <w:r>
        <w:rPr>
          <w:b w:val="0"/>
          <w:bCs/>
        </w:rPr>
        <w:t>What was achieved?</w:t>
      </w:r>
    </w:p>
    <w:p w:rsidR="009216D2" w:rsidRDefault="009216D2" w:rsidP="009216D2">
      <w:pPr>
        <w:ind w:left="720"/>
      </w:pPr>
    </w:p>
    <w:p w:rsidR="00DD03FF" w:rsidRPr="00FF00E0" w:rsidRDefault="00DD03FF" w:rsidP="00C6612B">
      <w:pPr>
        <w:jc w:val="both"/>
        <w:rPr>
          <w:b/>
        </w:rPr>
      </w:pPr>
      <w:r w:rsidRPr="00FF00E0">
        <w:rPr>
          <w:b/>
        </w:rPr>
        <w:t>Notable Projects</w:t>
      </w:r>
    </w:p>
    <w:p w:rsidR="00286F1E" w:rsidRPr="00FF00E0" w:rsidRDefault="002F5B83" w:rsidP="00C6612B">
      <w:pPr>
        <w:jc w:val="both"/>
        <w:rPr>
          <w:snapToGrid/>
          <w:sz w:val="22"/>
        </w:rPr>
      </w:pPr>
      <w:r>
        <w:t>For State FY 22-23, DOTD took bids on 247</w:t>
      </w:r>
      <w:r w:rsidR="00286F1E" w:rsidRPr="00FF00E0">
        <w:t xml:space="preserve"> projects with</w:t>
      </w:r>
      <w:r>
        <w:t xml:space="preserve"> a total letting value of $1.799</w:t>
      </w:r>
      <w:r w:rsidR="00286F1E" w:rsidRPr="00FF00E0">
        <w:t xml:space="preserve"> b</w:t>
      </w:r>
      <w:r>
        <w:t>i</w:t>
      </w:r>
      <w:r w:rsidR="00003F80">
        <w:t>llion.  DOTD also received $97.9</w:t>
      </w:r>
      <w:r w:rsidR="00286F1E" w:rsidRPr="00FF00E0">
        <w:t xml:space="preserve"> million in federal re-</w:t>
      </w:r>
      <w:r w:rsidR="00003F80">
        <w:t>distributed funds in August 2022,</w:t>
      </w:r>
      <w:r w:rsidR="00286F1E" w:rsidRPr="00FF00E0">
        <w:t xml:space="preserve"> which was immediately obligated towards new construction projects.</w:t>
      </w:r>
    </w:p>
    <w:p w:rsidR="0043203F" w:rsidRPr="00FF00E0" w:rsidRDefault="0043203F" w:rsidP="0043203F">
      <w:pPr>
        <w:jc w:val="both"/>
      </w:pPr>
    </w:p>
    <w:p w:rsidR="0043203F" w:rsidRPr="00FF00E0" w:rsidRDefault="004271BC" w:rsidP="0043203F">
      <w:pPr>
        <w:jc w:val="both"/>
      </w:pPr>
      <w:r w:rsidRPr="00FF00E0">
        <w:t xml:space="preserve">Notable projects </w:t>
      </w:r>
      <w:r w:rsidR="0043203F" w:rsidRPr="00FF00E0">
        <w:t>receiving bids</w:t>
      </w:r>
      <w:r w:rsidRPr="00FF00E0">
        <w:t xml:space="preserve"> and their construction cost</w:t>
      </w:r>
      <w:r w:rsidR="0043203F" w:rsidRPr="00FF00E0">
        <w:t>:</w:t>
      </w:r>
    </w:p>
    <w:p w:rsidR="0020040B" w:rsidRDefault="0020040B" w:rsidP="0043203F">
      <w:pPr>
        <w:jc w:val="both"/>
      </w:pPr>
    </w:p>
    <w:tbl>
      <w:tblPr>
        <w:tblW w:w="10539" w:type="dxa"/>
        <w:tblCellMar>
          <w:left w:w="0" w:type="dxa"/>
          <w:right w:w="0" w:type="dxa"/>
        </w:tblCellMar>
        <w:tblLook w:val="04A0" w:firstRow="1" w:lastRow="0" w:firstColumn="1" w:lastColumn="0" w:noHBand="0" w:noVBand="1"/>
      </w:tblPr>
      <w:tblGrid>
        <w:gridCol w:w="7385"/>
        <w:gridCol w:w="89"/>
        <w:gridCol w:w="3065"/>
      </w:tblGrid>
      <w:tr w:rsidR="002F5B83" w:rsidTr="00B96DB3">
        <w:trPr>
          <w:trHeight w:val="300"/>
        </w:trPr>
        <w:tc>
          <w:tcPr>
            <w:tcW w:w="7385" w:type="dxa"/>
            <w:tcMar>
              <w:top w:w="0" w:type="dxa"/>
              <w:left w:w="108" w:type="dxa"/>
              <w:bottom w:w="0" w:type="dxa"/>
              <w:right w:w="108" w:type="dxa"/>
            </w:tcMar>
            <w:vAlign w:val="center"/>
            <w:hideMark/>
          </w:tcPr>
          <w:p w:rsidR="002F5B83" w:rsidRPr="002F5B83" w:rsidRDefault="002F5B83" w:rsidP="002F5B83">
            <w:pPr>
              <w:pStyle w:val="ListParagraph"/>
              <w:numPr>
                <w:ilvl w:val="0"/>
                <w:numId w:val="36"/>
              </w:numPr>
              <w:rPr>
                <w:snapToGrid/>
                <w:sz w:val="22"/>
              </w:rPr>
            </w:pPr>
            <w:r>
              <w:t>LA 30 ROUNDABOUTS @ TANGER MALL &amp; I-10</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28,998,998.36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I20 REHAB (PINES RD TO I-220)</w:t>
            </w:r>
          </w:p>
        </w:tc>
        <w:tc>
          <w:tcPr>
            <w:tcW w:w="3154" w:type="dxa"/>
            <w:gridSpan w:val="2"/>
            <w:tcMar>
              <w:top w:w="0" w:type="dxa"/>
              <w:left w:w="108" w:type="dxa"/>
              <w:bottom w:w="0" w:type="dxa"/>
              <w:right w:w="108" w:type="dxa"/>
            </w:tcMar>
            <w:vAlign w:val="center"/>
            <w:hideMark/>
          </w:tcPr>
          <w:p w:rsidR="002F5B83" w:rsidRDefault="002F5B83" w:rsidP="002F5B83">
            <w:r>
              <w:t xml:space="preserve">$117,656,250.15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Jimmie Davis Bridge (LA 511) (HBI)</w:t>
            </w:r>
          </w:p>
        </w:tc>
        <w:tc>
          <w:tcPr>
            <w:tcW w:w="3154" w:type="dxa"/>
            <w:gridSpan w:val="2"/>
            <w:tcMar>
              <w:top w:w="0" w:type="dxa"/>
              <w:left w:w="108" w:type="dxa"/>
              <w:bottom w:w="0" w:type="dxa"/>
              <w:right w:w="108" w:type="dxa"/>
            </w:tcMar>
            <w:vAlign w:val="center"/>
            <w:hideMark/>
          </w:tcPr>
          <w:p w:rsidR="002F5B83" w:rsidRDefault="002F5B83" w:rsidP="002F5B83">
            <w:r>
              <w:t xml:space="preserve">$361,743,367.00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US 171: CADDO P/L - LA 3132</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10,044,949.63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NELSON ROAD EXTENSION AND BRIDGE</w:t>
            </w:r>
          </w:p>
        </w:tc>
        <w:tc>
          <w:tcPr>
            <w:tcW w:w="3154" w:type="dxa"/>
            <w:gridSpan w:val="2"/>
            <w:tcMar>
              <w:top w:w="0" w:type="dxa"/>
              <w:left w:w="108" w:type="dxa"/>
              <w:bottom w:w="0" w:type="dxa"/>
              <w:right w:w="108" w:type="dxa"/>
            </w:tcMar>
            <w:vAlign w:val="center"/>
            <w:hideMark/>
          </w:tcPr>
          <w:p w:rsidR="002F5B83" w:rsidRDefault="002F5B83" w:rsidP="002F5B83">
            <w:r>
              <w:t xml:space="preserve">$101,710,925.30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LA 534: BRIDGES (LA 2 TO HAYNESVILLE)</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18,221,992.40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LA 9: MIDDLE FORK BAYOU AND CREEK BRIDGES</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13,729,382.85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LA 518, LOCAL: BRIDGES NEAR ATHENS</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5,675,895.97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LA 5: THOMAS ROAD TO LA 172</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15,363,381.20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PECUE LANE/I-10 INTERCHANGE PHASE III</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69,946,610.89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LA 73: US 61 (AIRLINE) - ESSEN LANE</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18,293,607.35 </w:t>
            </w:r>
          </w:p>
        </w:tc>
      </w:tr>
      <w:tr w:rsidR="002F5B83" w:rsidTr="00B96DB3">
        <w:trPr>
          <w:trHeight w:val="300"/>
        </w:trPr>
        <w:tc>
          <w:tcPr>
            <w:tcW w:w="7385" w:type="dxa"/>
            <w:tcMar>
              <w:top w:w="0" w:type="dxa"/>
              <w:left w:w="108" w:type="dxa"/>
              <w:bottom w:w="0" w:type="dxa"/>
              <w:right w:w="108" w:type="dxa"/>
            </w:tcMar>
            <w:vAlign w:val="center"/>
            <w:hideMark/>
          </w:tcPr>
          <w:p w:rsidR="002F5B83" w:rsidRDefault="002F5B83" w:rsidP="002F5B83">
            <w:pPr>
              <w:pStyle w:val="ListParagraph"/>
              <w:numPr>
                <w:ilvl w:val="0"/>
                <w:numId w:val="36"/>
              </w:numPr>
            </w:pPr>
            <w:r>
              <w:t>LA 302: BAYOU BARATARIA MB REPL PHASE 1</w:t>
            </w:r>
          </w:p>
        </w:tc>
        <w:tc>
          <w:tcPr>
            <w:tcW w:w="3154" w:type="dxa"/>
            <w:gridSpan w:val="2"/>
            <w:tcMar>
              <w:top w:w="0" w:type="dxa"/>
              <w:left w:w="108" w:type="dxa"/>
              <w:bottom w:w="0" w:type="dxa"/>
              <w:right w:w="108" w:type="dxa"/>
            </w:tcMar>
            <w:vAlign w:val="center"/>
            <w:hideMark/>
          </w:tcPr>
          <w:p w:rsidR="002F5B83" w:rsidRDefault="002F5B83" w:rsidP="002F5B83">
            <w:r>
              <w:t>$</w:t>
            </w:r>
            <w:r w:rsidR="00003F80">
              <w:t xml:space="preserve">  </w:t>
            </w:r>
            <w:r>
              <w:t xml:space="preserve">54,994,064.73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US90Z: HARVEY CANAL TUNNEL REHABILITATION</w:t>
            </w:r>
          </w:p>
        </w:tc>
        <w:tc>
          <w:tcPr>
            <w:tcW w:w="3065" w:type="dxa"/>
            <w:tcMar>
              <w:top w:w="0" w:type="dxa"/>
              <w:left w:w="108" w:type="dxa"/>
              <w:bottom w:w="0" w:type="dxa"/>
              <w:right w:w="108" w:type="dxa"/>
            </w:tcMar>
            <w:vAlign w:val="center"/>
            <w:hideMark/>
          </w:tcPr>
          <w:p w:rsidR="002F5B83" w:rsidRDefault="002F5B83" w:rsidP="002F5B83">
            <w:r>
              <w:t xml:space="preserve">$53,718,699.10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lastRenderedPageBreak/>
              <w:t>US 165: 0.85 MI N I-10 - ALLEN P/L</w:t>
            </w:r>
          </w:p>
        </w:tc>
        <w:tc>
          <w:tcPr>
            <w:tcW w:w="3065" w:type="dxa"/>
            <w:tcMar>
              <w:top w:w="0" w:type="dxa"/>
              <w:left w:w="108" w:type="dxa"/>
              <w:bottom w:w="0" w:type="dxa"/>
              <w:right w:w="108" w:type="dxa"/>
            </w:tcMar>
            <w:vAlign w:val="center"/>
            <w:hideMark/>
          </w:tcPr>
          <w:p w:rsidR="002F5B83" w:rsidRDefault="002F5B83" w:rsidP="002F5B83">
            <w:r>
              <w:t xml:space="preserve">$10,213,823.11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I-10: LA 26 (JENNINGS) INTCHG LIGHTING</w:t>
            </w:r>
          </w:p>
        </w:tc>
        <w:tc>
          <w:tcPr>
            <w:tcW w:w="3065" w:type="dxa"/>
            <w:tcMar>
              <w:top w:w="0" w:type="dxa"/>
              <w:left w:w="108" w:type="dxa"/>
              <w:bottom w:w="0" w:type="dxa"/>
              <w:right w:w="108" w:type="dxa"/>
            </w:tcMar>
            <w:vAlign w:val="center"/>
            <w:hideMark/>
          </w:tcPr>
          <w:p w:rsidR="002F5B83" w:rsidRDefault="00DA5101" w:rsidP="00DA5101">
            <w:r>
              <w:t>$</w:t>
            </w:r>
            <w:r w:rsidR="00B96DB3">
              <w:t xml:space="preserve">  </w:t>
            </w:r>
            <w:r>
              <w:t>1,832,951.48</w:t>
            </w:r>
            <w:r w:rsidR="002F5B83">
              <w:tab/>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US 90: RR JCT - PINHOOK, LA 92 - LA 88</w:t>
            </w:r>
          </w:p>
        </w:tc>
        <w:tc>
          <w:tcPr>
            <w:tcW w:w="3065" w:type="dxa"/>
            <w:tcMar>
              <w:top w:w="0" w:type="dxa"/>
              <w:left w:w="108" w:type="dxa"/>
              <w:bottom w:w="0" w:type="dxa"/>
              <w:right w:w="108" w:type="dxa"/>
            </w:tcMar>
            <w:vAlign w:val="center"/>
            <w:hideMark/>
          </w:tcPr>
          <w:p w:rsidR="002F5B83" w:rsidRDefault="002F5B83" w:rsidP="002F5B83">
            <w:r>
              <w:t xml:space="preserve">$21,061,887.58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ACADIAN ROAD ROUNDABOUT</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8,509,262.52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151: CREEK AND RELIEF BRIDGES</w:t>
            </w:r>
          </w:p>
        </w:tc>
        <w:tc>
          <w:tcPr>
            <w:tcW w:w="3065" w:type="dxa"/>
            <w:tcMar>
              <w:top w:w="0" w:type="dxa"/>
              <w:left w:w="108" w:type="dxa"/>
              <w:bottom w:w="0" w:type="dxa"/>
              <w:right w:w="108" w:type="dxa"/>
            </w:tcMar>
            <w:vAlign w:val="center"/>
            <w:hideMark/>
          </w:tcPr>
          <w:p w:rsidR="002F5B83" w:rsidRDefault="002F5B83" w:rsidP="002F5B83">
            <w:r>
              <w:t xml:space="preserve">$10,944,469.50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16: US 190 - LA 1019</w:t>
            </w:r>
          </w:p>
        </w:tc>
        <w:tc>
          <w:tcPr>
            <w:tcW w:w="3065" w:type="dxa"/>
            <w:tcMar>
              <w:top w:w="0" w:type="dxa"/>
              <w:left w:w="108" w:type="dxa"/>
              <w:bottom w:w="0" w:type="dxa"/>
              <w:right w:w="108" w:type="dxa"/>
            </w:tcMar>
            <w:vAlign w:val="center"/>
            <w:hideMark/>
          </w:tcPr>
          <w:p w:rsidR="002F5B83" w:rsidRDefault="002F5B83" w:rsidP="002F5B83">
            <w:r>
              <w:t xml:space="preserve">$15,224,686.60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US 165: HENRY AVE - US 425 SOUTH</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5,534,507.76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120: SABINE PARISH LINE</w:t>
            </w:r>
          </w:p>
        </w:tc>
        <w:tc>
          <w:tcPr>
            <w:tcW w:w="3065" w:type="dxa"/>
            <w:tcMar>
              <w:top w:w="0" w:type="dxa"/>
              <w:left w:w="108" w:type="dxa"/>
              <w:bottom w:w="0" w:type="dxa"/>
              <w:right w:w="108" w:type="dxa"/>
            </w:tcMar>
            <w:vAlign w:val="center"/>
            <w:hideMark/>
          </w:tcPr>
          <w:p w:rsidR="002F5B83" w:rsidRDefault="002F5B83" w:rsidP="002F5B83">
            <w:r>
              <w:t xml:space="preserve">$10,781,403.79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I-10: PARIS RD - LAKE PONTCHARTRAIN</w:t>
            </w:r>
          </w:p>
        </w:tc>
        <w:tc>
          <w:tcPr>
            <w:tcW w:w="3065" w:type="dxa"/>
            <w:tcMar>
              <w:top w:w="0" w:type="dxa"/>
              <w:left w:w="108" w:type="dxa"/>
              <w:bottom w:w="0" w:type="dxa"/>
              <w:right w:w="108" w:type="dxa"/>
            </w:tcMar>
            <w:vAlign w:val="center"/>
            <w:hideMark/>
          </w:tcPr>
          <w:p w:rsidR="002F5B83" w:rsidRDefault="002F5B83" w:rsidP="002F5B83">
            <w:r>
              <w:t xml:space="preserve">$16,326,016.64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KANSAS LN EXT (OLD STERL.-US165) PHASE 1</w:t>
            </w:r>
          </w:p>
        </w:tc>
        <w:tc>
          <w:tcPr>
            <w:tcW w:w="3065" w:type="dxa"/>
            <w:tcMar>
              <w:top w:w="0" w:type="dxa"/>
              <w:left w:w="108" w:type="dxa"/>
              <w:bottom w:w="0" w:type="dxa"/>
              <w:right w:w="108" w:type="dxa"/>
            </w:tcMar>
            <w:vAlign w:val="center"/>
            <w:hideMark/>
          </w:tcPr>
          <w:p w:rsidR="002F5B83" w:rsidRDefault="00B96DB3" w:rsidP="002F5B83">
            <w:r>
              <w:t>$</w:t>
            </w:r>
            <w:r w:rsidR="002F5B83">
              <w:t xml:space="preserve">17,725,486.80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D05 SAFETY IMPROVEMENTS @ CURVES PH1</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6,269,405.50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39: ORLEANS P/L - NORTON AVE</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2,507,777.77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US 190: 0.5 MI W OF LA 978 - LA 976</w:t>
            </w:r>
          </w:p>
        </w:tc>
        <w:tc>
          <w:tcPr>
            <w:tcW w:w="3065" w:type="dxa"/>
            <w:tcMar>
              <w:top w:w="0" w:type="dxa"/>
              <w:left w:w="108" w:type="dxa"/>
              <w:bottom w:w="0" w:type="dxa"/>
              <w:right w:w="108" w:type="dxa"/>
            </w:tcMar>
            <w:vAlign w:val="center"/>
            <w:hideMark/>
          </w:tcPr>
          <w:p w:rsidR="002F5B83" w:rsidRDefault="002F5B83" w:rsidP="002F5B83">
            <w:r>
              <w:t xml:space="preserve">$21,822,076.72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121: CALCASIEU RIVER BRIDGE</w:t>
            </w:r>
          </w:p>
        </w:tc>
        <w:tc>
          <w:tcPr>
            <w:tcW w:w="3065" w:type="dxa"/>
            <w:tcMar>
              <w:top w:w="0" w:type="dxa"/>
              <w:left w:w="108" w:type="dxa"/>
              <w:bottom w:w="0" w:type="dxa"/>
              <w:right w:w="108" w:type="dxa"/>
            </w:tcMar>
            <w:vAlign w:val="center"/>
            <w:hideMark/>
          </w:tcPr>
          <w:p w:rsidR="002F5B83" w:rsidRDefault="002F5B83" w:rsidP="002F5B83">
            <w:r>
              <w:t xml:space="preserve">$28,552,881.30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US 167: DONAHUE FERRY RD TO US 165</w:t>
            </w:r>
          </w:p>
        </w:tc>
        <w:tc>
          <w:tcPr>
            <w:tcW w:w="3065" w:type="dxa"/>
            <w:tcMar>
              <w:top w:w="0" w:type="dxa"/>
              <w:left w:w="108" w:type="dxa"/>
              <w:bottom w:w="0" w:type="dxa"/>
              <w:right w:w="108" w:type="dxa"/>
            </w:tcMar>
            <w:vAlign w:val="center"/>
            <w:hideMark/>
          </w:tcPr>
          <w:p w:rsidR="002F5B83" w:rsidRDefault="002F5B83" w:rsidP="002F5B83">
            <w:r>
              <w:t xml:space="preserve">$10,494,249.82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155: BRIDGES NEAR COUSHATTA</w:t>
            </w:r>
          </w:p>
        </w:tc>
        <w:tc>
          <w:tcPr>
            <w:tcW w:w="3065" w:type="dxa"/>
            <w:tcMar>
              <w:top w:w="0" w:type="dxa"/>
              <w:left w:w="108" w:type="dxa"/>
              <w:bottom w:w="0" w:type="dxa"/>
              <w:right w:w="108" w:type="dxa"/>
            </w:tcMar>
            <w:vAlign w:val="center"/>
            <w:hideMark/>
          </w:tcPr>
          <w:p w:rsidR="002F5B83" w:rsidRDefault="002F5B83" w:rsidP="002F5B83">
            <w:r>
              <w:t xml:space="preserve">$13,339,761.79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BOEUF RIVER BRIDGE NEAR BUCKNER (HBI)</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6,392,865.80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52 (PH 1): BLUEBERRY HILL-ANGUS DR.</w:t>
            </w:r>
          </w:p>
        </w:tc>
        <w:tc>
          <w:tcPr>
            <w:tcW w:w="3065" w:type="dxa"/>
            <w:tcMar>
              <w:top w:w="0" w:type="dxa"/>
              <w:left w:w="108" w:type="dxa"/>
              <w:bottom w:w="0" w:type="dxa"/>
              <w:right w:w="108" w:type="dxa"/>
            </w:tcMar>
            <w:vAlign w:val="center"/>
            <w:hideMark/>
          </w:tcPr>
          <w:p w:rsidR="002F5B83" w:rsidRDefault="002F5B83" w:rsidP="002F5B83">
            <w:r>
              <w:t xml:space="preserve">$10,954,325.39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16: LIVINGSTON P/L - LA 63</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6,381,590.59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70: SUNSHINE BRIDGE - LA 22</w:t>
            </w:r>
          </w:p>
        </w:tc>
        <w:tc>
          <w:tcPr>
            <w:tcW w:w="3065" w:type="dxa"/>
            <w:tcMar>
              <w:top w:w="0" w:type="dxa"/>
              <w:left w:w="108" w:type="dxa"/>
              <w:bottom w:w="0" w:type="dxa"/>
              <w:right w:w="108" w:type="dxa"/>
            </w:tcMar>
            <w:vAlign w:val="center"/>
            <w:hideMark/>
          </w:tcPr>
          <w:p w:rsidR="002F5B83" w:rsidRDefault="002F5B83" w:rsidP="002F5B83">
            <w:r>
              <w:t xml:space="preserve">$50,182,110.02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358: LA 357 - LA 182</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6,459,338.54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353: LA 94 TO CYPRESS ISLAND HWY</w:t>
            </w:r>
          </w:p>
        </w:tc>
        <w:tc>
          <w:tcPr>
            <w:tcW w:w="3065" w:type="dxa"/>
            <w:tcMar>
              <w:top w:w="0" w:type="dxa"/>
              <w:left w:w="108" w:type="dxa"/>
              <w:bottom w:w="0" w:type="dxa"/>
              <w:right w:w="108" w:type="dxa"/>
            </w:tcMar>
            <w:vAlign w:val="center"/>
            <w:hideMark/>
          </w:tcPr>
          <w:p w:rsidR="002F5B83" w:rsidRDefault="002F5B83" w:rsidP="002F5B83">
            <w:r>
              <w:t xml:space="preserve">$11,201,521.25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182: BERWICK BAY BRIDGE REHAB (HBI)</w:t>
            </w:r>
          </w:p>
        </w:tc>
        <w:tc>
          <w:tcPr>
            <w:tcW w:w="3065" w:type="dxa"/>
            <w:tcMar>
              <w:top w:w="0" w:type="dxa"/>
              <w:left w:w="108" w:type="dxa"/>
              <w:bottom w:w="0" w:type="dxa"/>
              <w:right w:w="108" w:type="dxa"/>
            </w:tcMar>
            <w:vAlign w:val="center"/>
            <w:hideMark/>
          </w:tcPr>
          <w:p w:rsidR="002F5B83" w:rsidRDefault="002F5B83" w:rsidP="002F5B83">
            <w:r>
              <w:t xml:space="preserve">$25,969,337.50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I-12: LA 1077 TO LA 21</w:t>
            </w:r>
          </w:p>
        </w:tc>
        <w:tc>
          <w:tcPr>
            <w:tcW w:w="3065" w:type="dxa"/>
            <w:tcMar>
              <w:top w:w="0" w:type="dxa"/>
              <w:left w:w="108" w:type="dxa"/>
              <w:bottom w:w="0" w:type="dxa"/>
              <w:right w:w="108" w:type="dxa"/>
            </w:tcMar>
            <w:vAlign w:val="center"/>
            <w:hideMark/>
          </w:tcPr>
          <w:p w:rsidR="002F5B83" w:rsidRDefault="002F5B83" w:rsidP="002F5B83">
            <w:r>
              <w:t xml:space="preserve">$56,161,722.84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US 190/LA 22 IMPROVEMENTS</w:t>
            </w:r>
          </w:p>
        </w:tc>
        <w:tc>
          <w:tcPr>
            <w:tcW w:w="3065" w:type="dxa"/>
            <w:tcMar>
              <w:top w:w="0" w:type="dxa"/>
              <w:left w:w="108" w:type="dxa"/>
              <w:bottom w:w="0" w:type="dxa"/>
              <w:right w:w="108" w:type="dxa"/>
            </w:tcMar>
            <w:vAlign w:val="center"/>
            <w:hideMark/>
          </w:tcPr>
          <w:p w:rsidR="002F5B83" w:rsidRDefault="002F5B83" w:rsidP="002F5B83">
            <w:r>
              <w:t xml:space="preserve">$10,327,935.25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56: ROBINSON CANAL BRIDGE</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7,198,735.85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ROUNDABOUT: US 171 AT BOONE ST.</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9,770,606.43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531 OVERPASS</w:t>
            </w:r>
          </w:p>
        </w:tc>
        <w:tc>
          <w:tcPr>
            <w:tcW w:w="3065" w:type="dxa"/>
            <w:tcMar>
              <w:top w:w="0" w:type="dxa"/>
              <w:left w:w="108" w:type="dxa"/>
              <w:bottom w:w="0" w:type="dxa"/>
              <w:right w:w="108" w:type="dxa"/>
            </w:tcMar>
            <w:vAlign w:val="center"/>
            <w:hideMark/>
          </w:tcPr>
          <w:p w:rsidR="002F5B83" w:rsidRDefault="002F5B83" w:rsidP="002F5B83">
            <w:r>
              <w:t xml:space="preserve">$19,306,081.44 </w:t>
            </w:r>
          </w:p>
        </w:tc>
      </w:tr>
      <w:tr w:rsidR="002F5B83" w:rsidTr="00B96DB3">
        <w:trPr>
          <w:trHeight w:val="300"/>
        </w:trPr>
        <w:tc>
          <w:tcPr>
            <w:tcW w:w="7474" w:type="dxa"/>
            <w:gridSpan w:val="2"/>
            <w:tcMar>
              <w:top w:w="0" w:type="dxa"/>
              <w:left w:w="108" w:type="dxa"/>
              <w:bottom w:w="0" w:type="dxa"/>
              <w:right w:w="108" w:type="dxa"/>
            </w:tcMar>
            <w:vAlign w:val="center"/>
            <w:hideMark/>
          </w:tcPr>
          <w:p w:rsidR="002F5B83" w:rsidRDefault="002F5B83" w:rsidP="002F5B83">
            <w:pPr>
              <w:pStyle w:val="ListParagraph"/>
              <w:numPr>
                <w:ilvl w:val="0"/>
                <w:numId w:val="35"/>
              </w:numPr>
            </w:pPr>
            <w:r>
              <w:t>LA 159: COUNTRY CLUB DR TO BENSON RD</w:t>
            </w:r>
          </w:p>
        </w:tc>
        <w:tc>
          <w:tcPr>
            <w:tcW w:w="3065" w:type="dxa"/>
            <w:tcMar>
              <w:top w:w="0" w:type="dxa"/>
              <w:left w:w="108" w:type="dxa"/>
              <w:bottom w:w="0" w:type="dxa"/>
              <w:right w:w="108" w:type="dxa"/>
            </w:tcMar>
            <w:vAlign w:val="center"/>
            <w:hideMark/>
          </w:tcPr>
          <w:p w:rsidR="002F5B83" w:rsidRDefault="002F5B83" w:rsidP="002F5B83">
            <w:r>
              <w:t>$</w:t>
            </w:r>
            <w:r w:rsidR="00B96DB3">
              <w:t xml:space="preserve">  </w:t>
            </w:r>
            <w:r>
              <w:t xml:space="preserve">6,129,462.94 </w:t>
            </w:r>
          </w:p>
        </w:tc>
      </w:tr>
    </w:tbl>
    <w:p w:rsidR="002F5B83" w:rsidRDefault="002F5B83" w:rsidP="0043203F">
      <w:pPr>
        <w:jc w:val="both"/>
      </w:pPr>
    </w:p>
    <w:p w:rsidR="008E0E53" w:rsidRPr="00FF00E0" w:rsidRDefault="008E0E53" w:rsidP="004E643E">
      <w:pPr>
        <w:jc w:val="both"/>
      </w:pPr>
    </w:p>
    <w:p w:rsidR="00060EB1" w:rsidRPr="00060EB1" w:rsidRDefault="00060EB1" w:rsidP="00060EB1">
      <w:pPr>
        <w:jc w:val="both"/>
        <w:rPr>
          <w:b/>
        </w:rPr>
      </w:pPr>
      <w:r w:rsidRPr="00060EB1">
        <w:rPr>
          <w:b/>
        </w:rPr>
        <w:t>Employee Assistance Program (EAP)</w:t>
      </w:r>
    </w:p>
    <w:p w:rsidR="00060EB1" w:rsidRPr="00060EB1" w:rsidRDefault="00060EB1" w:rsidP="00060EB1">
      <w:pPr>
        <w:jc w:val="both"/>
        <w:rPr>
          <w:sz w:val="23"/>
          <w:szCs w:val="23"/>
        </w:rPr>
      </w:pPr>
      <w:r w:rsidRPr="00060EB1">
        <w:rPr>
          <w:sz w:val="23"/>
          <w:szCs w:val="23"/>
        </w:rPr>
        <w:t>The Employee Assistance Program (EAP) is available to all full-time employees at DOTD at no cost to the employee.  It offers an array of tools and services to help with problems that might affect their personal or work life, such as marriage and family, stress, legal issues, financial advice, wellness, and so much more. The program also offers hundreds of web-based personal and professional development opportunities.  DOTD HR has successfully engaged with employees to increase the awareness and usage of the program.</w:t>
      </w:r>
    </w:p>
    <w:p w:rsidR="00060EB1" w:rsidRPr="00060EB1" w:rsidRDefault="00060EB1" w:rsidP="00060EB1">
      <w:pPr>
        <w:jc w:val="both"/>
        <w:rPr>
          <w:sz w:val="20"/>
        </w:rPr>
      </w:pPr>
    </w:p>
    <w:p w:rsidR="00060EB1" w:rsidRPr="00060EB1" w:rsidRDefault="00060EB1" w:rsidP="00060EB1">
      <w:pPr>
        <w:jc w:val="both"/>
        <w:rPr>
          <w:b/>
        </w:rPr>
      </w:pPr>
      <w:r w:rsidRPr="00060EB1">
        <w:rPr>
          <w:b/>
        </w:rPr>
        <w:t>State as a Model Employer (SAME)</w:t>
      </w:r>
    </w:p>
    <w:p w:rsidR="00060EB1" w:rsidRPr="00060EB1" w:rsidRDefault="00060EB1" w:rsidP="00060EB1">
      <w:pPr>
        <w:jc w:val="both"/>
        <w:rPr>
          <w:sz w:val="23"/>
          <w:szCs w:val="23"/>
        </w:rPr>
      </w:pPr>
      <w:r w:rsidRPr="00060EB1">
        <w:rPr>
          <w:sz w:val="23"/>
          <w:szCs w:val="23"/>
        </w:rPr>
        <w:t xml:space="preserve">DOTD, as part of the State </w:t>
      </w:r>
      <w:proofErr w:type="gramStart"/>
      <w:r w:rsidRPr="00060EB1">
        <w:rPr>
          <w:sz w:val="23"/>
          <w:szCs w:val="23"/>
        </w:rPr>
        <w:t>As</w:t>
      </w:r>
      <w:proofErr w:type="gramEnd"/>
      <w:r w:rsidRPr="00060EB1">
        <w:rPr>
          <w:sz w:val="23"/>
          <w:szCs w:val="23"/>
        </w:rPr>
        <w:t xml:space="preserve"> a Model Employer (SAME) initiative, has assembled a DOTD SAME Task Force which meets quarterly with internal and external stakeholders to discuss goals, efforts and achievements of the DOTD SAME initiative. Various efforts have been made to improve hiring, recruitment and retention of individuals with disabilities.  Additionally, updates were made to PPM #18, Americans with Disabilities Act, to designate an ADA Coordinator and to streamline the process </w:t>
      </w:r>
      <w:r w:rsidRPr="00060EB1">
        <w:rPr>
          <w:sz w:val="23"/>
          <w:szCs w:val="23"/>
        </w:rPr>
        <w:lastRenderedPageBreak/>
        <w:t xml:space="preserve">when there is a request for an accommodation. </w:t>
      </w:r>
    </w:p>
    <w:p w:rsidR="00060EB1" w:rsidRPr="00060EB1" w:rsidRDefault="00060EB1" w:rsidP="00060EB1">
      <w:pPr>
        <w:jc w:val="both"/>
        <w:rPr>
          <w:sz w:val="20"/>
        </w:rPr>
      </w:pPr>
    </w:p>
    <w:p w:rsidR="00060EB1" w:rsidRPr="00060EB1" w:rsidRDefault="00060EB1" w:rsidP="00060EB1">
      <w:pPr>
        <w:jc w:val="both"/>
        <w:rPr>
          <w:b/>
        </w:rPr>
      </w:pPr>
      <w:r w:rsidRPr="00060EB1">
        <w:rPr>
          <w:b/>
        </w:rPr>
        <w:t>Strategic Recruitment Plan</w:t>
      </w:r>
    </w:p>
    <w:p w:rsidR="00060EB1" w:rsidRPr="00060EB1" w:rsidRDefault="00060EB1" w:rsidP="00060EB1">
      <w:pPr>
        <w:jc w:val="both"/>
      </w:pPr>
      <w:r w:rsidRPr="00060EB1">
        <w:rPr>
          <w:sz w:val="23"/>
          <w:szCs w:val="23"/>
        </w:rPr>
        <w:t xml:space="preserve">DOTD’s strategic recruitment plan includes advertising vacancies through various methods and partnering with other entities to emphasize our commitment to diversity and inclusion. DOTD regularly attends the annual Louisiana Society for Human Resource Management (SHRM) Diversity and Inclusion Summit and entered a partnership with the Louisiana Workforce Commission, Louisiana Rehabilitation Services, </w:t>
      </w:r>
      <w:proofErr w:type="gramStart"/>
      <w:r w:rsidRPr="00060EB1">
        <w:rPr>
          <w:sz w:val="23"/>
          <w:szCs w:val="23"/>
        </w:rPr>
        <w:t>Work</w:t>
      </w:r>
      <w:proofErr w:type="gramEnd"/>
      <w:r w:rsidRPr="00060EB1">
        <w:rPr>
          <w:sz w:val="23"/>
          <w:szCs w:val="23"/>
        </w:rPr>
        <w:t xml:space="preserve"> Based Learning Experience (WBLE) program. We also have an ongoing partnership with the Baton Rouge Community College, Program for Successful Employment which has led to successful student employment in multiple areas of the agency. Most recently, HR has partnered with the Office of Operations to host multiple Onsite Hiring Events that have produced hundreds of applicants and resulted in hires for all targeted high-turnover vacancies.  Additionally, DOTD HR has consulted with interested, outside entities looking to mirror the success of DOTD with these events</w:t>
      </w:r>
      <w:r w:rsidRPr="00060EB1">
        <w:t xml:space="preserve">. </w:t>
      </w:r>
    </w:p>
    <w:p w:rsidR="00060EB1" w:rsidRPr="00060EB1" w:rsidRDefault="00060EB1" w:rsidP="00060EB1">
      <w:pPr>
        <w:jc w:val="both"/>
        <w:rPr>
          <w:sz w:val="20"/>
        </w:rPr>
      </w:pPr>
    </w:p>
    <w:p w:rsidR="00060EB1" w:rsidRPr="00060EB1" w:rsidRDefault="00060EB1" w:rsidP="00060EB1">
      <w:pPr>
        <w:jc w:val="both"/>
        <w:rPr>
          <w:b/>
        </w:rPr>
      </w:pPr>
      <w:r w:rsidRPr="00060EB1">
        <w:rPr>
          <w:b/>
        </w:rPr>
        <w:t>State Civil Service (SCS) Compliance Audit</w:t>
      </w:r>
    </w:p>
    <w:p w:rsidR="00060EB1" w:rsidRPr="00060EB1" w:rsidRDefault="00060EB1" w:rsidP="00060EB1">
      <w:pPr>
        <w:jc w:val="both"/>
        <w:rPr>
          <w:sz w:val="23"/>
          <w:szCs w:val="23"/>
        </w:rPr>
      </w:pPr>
      <w:r w:rsidRPr="00060EB1">
        <w:rPr>
          <w:sz w:val="23"/>
          <w:szCs w:val="23"/>
        </w:rPr>
        <w:t>DOTD HR has continued to achieve excellent levels of compliance with Civil Service rules and directives as indicated on the SCS Compliance Audit Reports.  Most notably in 2023, DOTD HR was 100% compliant with 18 of the 19 categories audited, such as authority for pay, appointing authority approval, and pay policy posted; there was only one issue out of 517 items reviewed and action was taken to remedy the finding by way of a policy update prior to the final report being issued.  SCS and the SCS Commission recognize this outstanding achievement at its public meeting.</w:t>
      </w:r>
    </w:p>
    <w:p w:rsidR="00060EB1" w:rsidRPr="00060EB1" w:rsidRDefault="00060EB1" w:rsidP="00060EB1">
      <w:pPr>
        <w:jc w:val="both"/>
        <w:rPr>
          <w:b/>
          <w:sz w:val="20"/>
        </w:rPr>
      </w:pPr>
    </w:p>
    <w:p w:rsidR="00060EB1" w:rsidRPr="00060EB1" w:rsidRDefault="00060EB1" w:rsidP="00060EB1">
      <w:pPr>
        <w:jc w:val="both"/>
        <w:rPr>
          <w:b/>
        </w:rPr>
      </w:pPr>
      <w:proofErr w:type="spellStart"/>
      <w:r w:rsidRPr="00060EB1">
        <w:rPr>
          <w:b/>
        </w:rPr>
        <w:t>Verifent</w:t>
      </w:r>
      <w:proofErr w:type="spellEnd"/>
    </w:p>
    <w:p w:rsidR="008E0E53" w:rsidRDefault="00060EB1" w:rsidP="00060EB1">
      <w:pPr>
        <w:jc w:val="both"/>
        <w:rPr>
          <w:sz w:val="23"/>
          <w:szCs w:val="23"/>
        </w:rPr>
      </w:pPr>
      <w:r w:rsidRPr="00060EB1">
        <w:rPr>
          <w:sz w:val="23"/>
          <w:szCs w:val="23"/>
        </w:rPr>
        <w:t xml:space="preserve">DOTD has entered into an agreement with </w:t>
      </w:r>
      <w:proofErr w:type="spellStart"/>
      <w:r w:rsidRPr="00060EB1">
        <w:rPr>
          <w:sz w:val="23"/>
          <w:szCs w:val="23"/>
        </w:rPr>
        <w:t>Verifent</w:t>
      </w:r>
      <w:proofErr w:type="spellEnd"/>
      <w:r w:rsidRPr="00060EB1">
        <w:rPr>
          <w:sz w:val="23"/>
          <w:szCs w:val="23"/>
        </w:rPr>
        <w:t xml:space="preserve">, Verification Solutions to streamline our processes for responding to requests for employment verification as they possess over 50 years of experience in the industry.  </w:t>
      </w:r>
      <w:proofErr w:type="spellStart"/>
      <w:r w:rsidRPr="00060EB1">
        <w:rPr>
          <w:sz w:val="23"/>
          <w:szCs w:val="23"/>
        </w:rPr>
        <w:t>Verifent</w:t>
      </w:r>
      <w:proofErr w:type="spellEnd"/>
      <w:r w:rsidRPr="00060EB1">
        <w:rPr>
          <w:sz w:val="23"/>
          <w:szCs w:val="23"/>
        </w:rPr>
        <w:t xml:space="preserve"> is fully compliant with the Fair Credit Reporting Act (FCRA) and brings an added level of security and consistency to our processes.  Requestors will be required to submit a standardized request to </w:t>
      </w:r>
      <w:proofErr w:type="spellStart"/>
      <w:r w:rsidRPr="00060EB1">
        <w:rPr>
          <w:sz w:val="23"/>
          <w:szCs w:val="23"/>
        </w:rPr>
        <w:t>Verifent</w:t>
      </w:r>
      <w:proofErr w:type="spellEnd"/>
      <w:r w:rsidRPr="00060EB1">
        <w:rPr>
          <w:sz w:val="23"/>
          <w:szCs w:val="23"/>
        </w:rPr>
        <w:t xml:space="preserve"> who will then vet these requests before we respond; employees will have direct access to their information that has been released.  This eliminates the faxes, phone calls, and emails that are received from vendors and directs them to one source for the data requested.  Additionally, this data direct streamlined process increases data security (consent to release information by the employee is required of the requestor in advance of our receipt of the request), provides an audit trail for each verification, eliminates the paper process, is at no cost to the Department and with no contractual agreement.</w:t>
      </w:r>
      <w:r w:rsidRPr="00B670BA">
        <w:rPr>
          <w:sz w:val="23"/>
          <w:szCs w:val="23"/>
        </w:rPr>
        <w:t> </w:t>
      </w:r>
    </w:p>
    <w:p w:rsidR="008A59ED" w:rsidRPr="00FF00E0" w:rsidRDefault="008A59ED" w:rsidP="00F53A54">
      <w:pPr>
        <w:jc w:val="both"/>
      </w:pPr>
    </w:p>
    <w:p w:rsidR="00EC7AE3" w:rsidRPr="00FF00E0" w:rsidRDefault="00EC7AE3" w:rsidP="00EC7AE3">
      <w:pPr>
        <w:jc w:val="both"/>
        <w:rPr>
          <w:b/>
        </w:rPr>
      </w:pPr>
      <w:r>
        <w:rPr>
          <w:b/>
        </w:rPr>
        <w:t>Hiring Events</w:t>
      </w:r>
    </w:p>
    <w:p w:rsidR="00EC7AE3" w:rsidRDefault="00EC7AE3" w:rsidP="00EC7AE3">
      <w:pPr>
        <w:jc w:val="both"/>
      </w:pPr>
      <w:r>
        <w:t xml:space="preserve">The Office of Operations had turnover of 27% during the FY 2022-23 period in the Mobile Equipment Operator job series.  Recruiting into and retention into these positions, as well as the Engineering Technician series had become very difficult.  Further, the traditional state government hiring process for DOTD averages a time of 47 days from job posting to hire date.  Anecdotally, small applicant pools are often the result of following the traditional process and oftentimes the result has been no candidates hired.  </w:t>
      </w:r>
    </w:p>
    <w:p w:rsidR="00EC7AE3" w:rsidRDefault="00EC7AE3" w:rsidP="00EC7AE3">
      <w:pPr>
        <w:jc w:val="both"/>
      </w:pPr>
    </w:p>
    <w:p w:rsidR="00EC7AE3" w:rsidRDefault="00EC7AE3" w:rsidP="00EC7AE3">
      <w:pPr>
        <w:jc w:val="both"/>
      </w:pPr>
      <w:r>
        <w:t xml:space="preserve">To address this problem, the Department has implement a process of “hiring events.”  These hiring events require a joint effort between DOTD Human Resources and District Staff, as well as State Civil Service and Louisiana Workforce Commission Staff.  The result of these events is a fast tracking of the hiring process, in which same day conditional job offers are accomplished.  In most </w:t>
      </w:r>
      <w:r>
        <w:lastRenderedPageBreak/>
        <w:t xml:space="preserve">cases, successful applicants start within 1 week.  </w:t>
      </w:r>
    </w:p>
    <w:p w:rsidR="00EC7AE3" w:rsidRDefault="00EC7AE3" w:rsidP="00EC7AE3">
      <w:pPr>
        <w:jc w:val="both"/>
      </w:pPr>
    </w:p>
    <w:p w:rsidR="00EC7AE3" w:rsidRDefault="00EC7AE3" w:rsidP="00EC7AE3">
      <w:pPr>
        <w:jc w:val="both"/>
      </w:pPr>
      <w:r>
        <w:t xml:space="preserve">The Department has held these hiring events in Baton Rouge, Lafayette, and New Orleans districts so far.  Through these four (4) single day hiring events the Department has seen a total of 346 applicants.  In total, 267 interviews were conducted, resulting in 168 conditional job offers and 98 hires.  To date, 86 of those hired remain employed.  </w:t>
      </w:r>
    </w:p>
    <w:p w:rsidR="00EC7AE3" w:rsidRDefault="00EC7AE3" w:rsidP="00EC7AE3">
      <w:pPr>
        <w:jc w:val="both"/>
      </w:pPr>
    </w:p>
    <w:p w:rsidR="00EC7AE3" w:rsidRDefault="00EC7AE3" w:rsidP="00EC7AE3">
      <w:pPr>
        <w:jc w:val="both"/>
      </w:pPr>
      <w:r>
        <w:t xml:space="preserve">The hiring events, along with hires during this time have lowered the DOTD Office of Operations vacant positions by 150+.  Staffing in the Mobile Equipment Operator job series has increased by 117 total filled positions during this time, an increase of about 14%.  Increases in starting pay to the WS pay scale have helped with recruiting and retention as well.  The pay scale adjustments were the result of the 2022 Annual Pay Plan Review by State Civil Service.  </w:t>
      </w:r>
    </w:p>
    <w:p w:rsidR="00EC7AE3" w:rsidRDefault="00EC7AE3" w:rsidP="00EC7AE3">
      <w:pPr>
        <w:jc w:val="both"/>
      </w:pPr>
    </w:p>
    <w:p w:rsidR="00EC7AE3" w:rsidRPr="00FF00E0" w:rsidRDefault="00EC7AE3" w:rsidP="00EC7AE3">
      <w:pPr>
        <w:jc w:val="both"/>
        <w:rPr>
          <w:b/>
        </w:rPr>
      </w:pPr>
      <w:r>
        <w:rPr>
          <w:b/>
        </w:rPr>
        <w:t>Emergency Repair Projects</w:t>
      </w:r>
    </w:p>
    <w:p w:rsidR="00EC7AE3" w:rsidRDefault="00EC7AE3" w:rsidP="00EC7AE3">
      <w:pPr>
        <w:jc w:val="both"/>
      </w:pPr>
      <w:r>
        <w:t>Each year, the Department’s Office of Operations responds to need for emergency projects on multiple occasions, managing and coordinating expedited process to accomplish the necessary work.  Often, these repairs become necessary due to vehicle accidents that cause damage to road and/or bridge infrastructure.  In FY 2023, there were nearly twenty (20) such emergency declared projects.  The following is one of the more notable examples from the fiscal year:</w:t>
      </w:r>
    </w:p>
    <w:p w:rsidR="004433A5" w:rsidRDefault="004433A5" w:rsidP="00EC7AE3">
      <w:pPr>
        <w:jc w:val="both"/>
        <w:rPr>
          <w:b/>
        </w:rPr>
      </w:pPr>
    </w:p>
    <w:p w:rsidR="00EC7AE3" w:rsidRPr="00FF00E0" w:rsidRDefault="00EC7AE3" w:rsidP="00EC7AE3">
      <w:pPr>
        <w:jc w:val="both"/>
      </w:pPr>
      <w:r>
        <w:rPr>
          <w:b/>
        </w:rPr>
        <w:t xml:space="preserve">Damage to bridge structure, </w:t>
      </w:r>
      <w:r w:rsidRPr="00402CA2">
        <w:rPr>
          <w:b/>
        </w:rPr>
        <w:t>I-49 Northbound @ I-10 Eastbound</w:t>
      </w:r>
      <w:r>
        <w:t xml:space="preserve">:  </w:t>
      </w:r>
      <w:r w:rsidRPr="003836D5">
        <w:t xml:space="preserve">On the afternoon of January 3, 2023, a tractor-trailer hauling an </w:t>
      </w:r>
      <w:r>
        <w:t xml:space="preserve">improperly loaded </w:t>
      </w:r>
      <w:r w:rsidRPr="003836D5">
        <w:t xml:space="preserve">excavator impacted the bridge causing significant damage to the I-10 EB overpass at I-49, a major interchange in the </w:t>
      </w:r>
      <w:proofErr w:type="spellStart"/>
      <w:r w:rsidRPr="003836D5">
        <w:t>Acadiana</w:t>
      </w:r>
      <w:proofErr w:type="spellEnd"/>
      <w:r w:rsidRPr="003836D5">
        <w:t xml:space="preserve"> Region of South Louisiana.  The interchange was </w:t>
      </w:r>
      <w:r>
        <w:t xml:space="preserve">shut down </w:t>
      </w:r>
      <w:r w:rsidRPr="003836D5">
        <w:t xml:space="preserve">immediately to perform a bridge inspection and load assessment.  </w:t>
      </w:r>
    </w:p>
    <w:p w:rsidR="00EC7AE3" w:rsidRPr="00FF00E0" w:rsidRDefault="00EC7AE3" w:rsidP="00EC7AE3">
      <w:pPr>
        <w:jc w:val="both"/>
      </w:pPr>
      <w:r>
        <w:t xml:space="preserve">  </w:t>
      </w:r>
    </w:p>
    <w:p w:rsidR="00EC7AE3" w:rsidRDefault="00EC7AE3" w:rsidP="00EC7AE3">
      <w:pPr>
        <w:jc w:val="both"/>
      </w:pPr>
      <w:r w:rsidRPr="003836D5">
        <w:t>Upon arri</w:t>
      </w:r>
      <w:r>
        <w:t xml:space="preserve">val, extensive damage was </w:t>
      </w:r>
      <w:r w:rsidRPr="003836D5">
        <w:t xml:space="preserve">observed.  This interchange is one of the major interchanges in the </w:t>
      </w:r>
      <w:proofErr w:type="spellStart"/>
      <w:r w:rsidRPr="003836D5">
        <w:t>Acadiana</w:t>
      </w:r>
      <w:proofErr w:type="spellEnd"/>
      <w:r w:rsidRPr="003836D5">
        <w:t xml:space="preserve"> Region and vital corridor for the southern region.  Three out of the eight girders on the bridge suffered catastrophic damage and were no longer functioning as critical load bearing members of the structure.  The planned repair sequence included temporary work to accommodate two lanes of traffic on I-10 EB while new girders and deck </w:t>
      </w:r>
      <w:r>
        <w:t>were</w:t>
      </w:r>
      <w:r w:rsidRPr="003836D5">
        <w:t xml:space="preserve"> constructed.  CEC, Inc. and </w:t>
      </w:r>
      <w:proofErr w:type="spellStart"/>
      <w:r w:rsidRPr="003836D5">
        <w:t>Huval</w:t>
      </w:r>
      <w:proofErr w:type="spellEnd"/>
      <w:r w:rsidRPr="003836D5">
        <w:t xml:space="preserve"> and Associates, Inc. were selected as the emergency contractors.</w:t>
      </w:r>
    </w:p>
    <w:p w:rsidR="00EC7AE3" w:rsidRDefault="00EC7AE3" w:rsidP="00EC7AE3">
      <w:pPr>
        <w:jc w:val="both"/>
      </w:pPr>
    </w:p>
    <w:p w:rsidR="00EC7AE3" w:rsidRDefault="00EC7AE3" w:rsidP="00EC7AE3">
      <w:pPr>
        <w:jc w:val="both"/>
      </w:pPr>
      <w:r w:rsidRPr="003836D5">
        <w:t xml:space="preserve">Using traditional construction methods and removing and replacing the girders in place would have required lanes to be closed for extended amounts of time, adversely impacting traffic along both interstates and several local routes. Because of this, alternate repair methods were discussed and </w:t>
      </w:r>
      <w:proofErr w:type="spellStart"/>
      <w:r w:rsidRPr="003836D5">
        <w:t>Berard</w:t>
      </w:r>
      <w:proofErr w:type="spellEnd"/>
      <w:r w:rsidRPr="003836D5">
        <w:t xml:space="preserve"> Transportation, Inc. was brought in as part of the team.  In order to expedite the removal and repairs, a Self-Propelled Modular Transporter (SPMT) was utilized to remove damaged sections and lift the new section into place.  This method and equipment would allow for the majority of work to be completed outside of the roadway. </w:t>
      </w:r>
    </w:p>
    <w:p w:rsidR="00EC7AE3" w:rsidRPr="003836D5" w:rsidRDefault="00EC7AE3" w:rsidP="00EC7AE3">
      <w:pPr>
        <w:jc w:val="both"/>
      </w:pPr>
    </w:p>
    <w:p w:rsidR="00EC7AE3" w:rsidRPr="003836D5" w:rsidRDefault="00EC7AE3" w:rsidP="00EC7AE3">
      <w:pPr>
        <w:jc w:val="both"/>
      </w:pPr>
      <w:r w:rsidRPr="003836D5">
        <w:t xml:space="preserve">For phase 1 of the repairs, </w:t>
      </w:r>
      <w:proofErr w:type="spellStart"/>
      <w:r w:rsidRPr="003836D5">
        <w:t>Berard</w:t>
      </w:r>
      <w:proofErr w:type="spellEnd"/>
      <w:r w:rsidRPr="003836D5">
        <w:t xml:space="preserve"> positioned the SPMT’s and jacking system under the damaged two-girder span portion.  By saw cutting and breaking out diaphragm concrete, the damaged portion was detached from the remaining bridge span.  </w:t>
      </w:r>
      <w:proofErr w:type="spellStart"/>
      <w:r w:rsidRPr="003836D5">
        <w:t>Berard</w:t>
      </w:r>
      <w:proofErr w:type="spellEnd"/>
      <w:r w:rsidRPr="003836D5">
        <w:t xml:space="preserve"> carefully lifted the two-girder span (215,000 lbs.) and moved it </w:t>
      </w:r>
      <w:r>
        <w:t>to a nearby work site, even through</w:t>
      </w:r>
      <w:r w:rsidRPr="003836D5">
        <w:t xml:space="preserve"> unfavorable weather conditions. This process happened over a 6 hour span, which required routine detouring of traffic of I-49 over </w:t>
      </w:r>
      <w:r w:rsidRPr="003836D5">
        <w:lastRenderedPageBreak/>
        <w:t>a short period.  By January 23, two lanes were open on I-10 EB and I-49 NB.</w:t>
      </w:r>
    </w:p>
    <w:p w:rsidR="00EC7AE3" w:rsidRPr="003836D5" w:rsidRDefault="00EC7AE3" w:rsidP="00EC7AE3">
      <w:pPr>
        <w:jc w:val="both"/>
      </w:pPr>
    </w:p>
    <w:p w:rsidR="00EC7AE3" w:rsidRPr="003836D5" w:rsidRDefault="00EC7AE3" w:rsidP="00EC7AE3">
      <w:pPr>
        <w:jc w:val="both"/>
      </w:pPr>
      <w:r w:rsidRPr="003836D5">
        <w:t xml:space="preserve">After approximately two months of constructing the temporary bridge bents, erection of three new pre-stressed concrete girders, and fabrication of the concrete deck and components, the second phase of work to reinstall the new bridge section began.  This bridge section was </w:t>
      </w:r>
      <w:r>
        <w:t>constructed</w:t>
      </w:r>
      <w:r w:rsidRPr="003836D5">
        <w:t xml:space="preserve"> at a nearby worksite, </w:t>
      </w:r>
      <w:r>
        <w:t xml:space="preserve">then </w:t>
      </w:r>
      <w:r w:rsidRPr="003836D5">
        <w:t xml:space="preserve">lifted off temporary false work, and moved and maneuvered into its final resting place. </w:t>
      </w:r>
    </w:p>
    <w:p w:rsidR="00EC7AE3" w:rsidRDefault="00EC7AE3" w:rsidP="00EC7AE3">
      <w:pPr>
        <w:jc w:val="both"/>
      </w:pPr>
    </w:p>
    <w:p w:rsidR="00EC7AE3" w:rsidRPr="003836D5" w:rsidRDefault="00EC7AE3" w:rsidP="00EC7AE3">
      <w:pPr>
        <w:jc w:val="both"/>
      </w:pPr>
      <w:r w:rsidRPr="003836D5">
        <w:t>In-depth planning and preparation made for a seamless move when installing the new bridge section, again with minimal disruption to the traveling public. By March 30, 2023, the entire interchange was open to vehicular traffic with no restrictions.</w:t>
      </w:r>
    </w:p>
    <w:p w:rsidR="00EC7AE3" w:rsidRPr="00FF00E0" w:rsidRDefault="00EC7AE3" w:rsidP="00EC7AE3">
      <w:pPr>
        <w:jc w:val="both"/>
      </w:pPr>
    </w:p>
    <w:p w:rsidR="00EC7AE3" w:rsidRPr="00F647AF" w:rsidRDefault="00EC7AE3" w:rsidP="00EC7AE3">
      <w:pPr>
        <w:jc w:val="both"/>
        <w:rPr>
          <w:b/>
        </w:rPr>
      </w:pPr>
      <w:r w:rsidRPr="00F647AF">
        <w:rPr>
          <w:b/>
        </w:rPr>
        <w:t>Continued Implementation of Section 52, Weights and Enforcement</w:t>
      </w:r>
    </w:p>
    <w:p w:rsidR="00EC7AE3" w:rsidRPr="00F647AF" w:rsidRDefault="00EC7AE3" w:rsidP="00EC7AE3">
      <w:pPr>
        <w:jc w:val="both"/>
      </w:pPr>
      <w:r w:rsidRPr="00F647AF">
        <w:t>Act 384 of the 2021 Regular Legislative Session moved stationary weight enforcement from the Louisiana Department of Public Safety and Corrections (DPS&amp;C) to under DOTD’s authority effective July 1, 2022.</w:t>
      </w:r>
    </w:p>
    <w:p w:rsidR="00EC7AE3" w:rsidRPr="00F647AF" w:rsidRDefault="00EC7AE3" w:rsidP="00EC7AE3">
      <w:pPr>
        <w:jc w:val="both"/>
      </w:pPr>
    </w:p>
    <w:p w:rsidR="00EC7AE3" w:rsidRPr="00F647AF" w:rsidRDefault="00EC7AE3" w:rsidP="00EC7AE3">
      <w:pPr>
        <w:jc w:val="both"/>
      </w:pPr>
      <w:r w:rsidRPr="00F647AF">
        <w:t>Currently there are seventeen (17) static scales plus a virtual weigh in motion. Of the 17 s</w:t>
      </w:r>
      <w:r>
        <w:t xml:space="preserve">tatic scale locations, only 10 </w:t>
      </w:r>
      <w:r w:rsidRPr="00F647AF">
        <w:t xml:space="preserve">locations are operational due to road construction issues, hurricane damage, neglect and abandonment.  There are maintenance efforts currently underway to get all scale locations operational. The virtual weigh in motion is located at US 61 SB just south of Mississippi/Louisiana State Line. No enforcement vehicles or equipment were transferred to DOTD from DPS&amp;C. The combination of the short duration for transition, Hurricane Ida’s landfall in 2021, and supply chain issues caused some initial delays but DOTD has received a total of sixty five (65) enforcement vehicles. DOTD continues to work to implement software for issuing tickets, and acquiring bulletproof vests, guns, uniforms, mobile scales and other equipment.  A comprehensive set of policies specific to the enforcement staff have been developed and is nearly finalized at this time.     </w:t>
      </w:r>
    </w:p>
    <w:p w:rsidR="00EC7AE3" w:rsidRPr="00F647AF" w:rsidRDefault="00EC7AE3" w:rsidP="00EC7AE3">
      <w:pPr>
        <w:jc w:val="both"/>
      </w:pPr>
    </w:p>
    <w:p w:rsidR="00EC7AE3" w:rsidRPr="00F647AF" w:rsidRDefault="00EC7AE3" w:rsidP="00EC7AE3">
      <w:pPr>
        <w:jc w:val="both"/>
      </w:pPr>
      <w:r w:rsidRPr="00F647AF">
        <w:t xml:space="preserve">DOTD inherited a staff of 19 civilian employees (no officers) and with additional hires is now up to a staff of 38.  Now that enforcement vehicles are available and policies and training programs have been developed, additional hiring efforts have commenced and staffing will continue to increase at a faster pace.  </w:t>
      </w:r>
    </w:p>
    <w:p w:rsidR="00EC7AE3" w:rsidRPr="00F647AF" w:rsidRDefault="00EC7AE3" w:rsidP="00EC7AE3">
      <w:pPr>
        <w:jc w:val="both"/>
      </w:pPr>
    </w:p>
    <w:p w:rsidR="00EC7AE3" w:rsidRDefault="00EC7AE3" w:rsidP="00EC7AE3">
      <w:pPr>
        <w:jc w:val="both"/>
      </w:pPr>
      <w:r w:rsidRPr="00F647AF">
        <w:t xml:space="preserve">Despite being not yet up to full staffing and having limited equipment available to perform the work, DOTD was able to issue 6,867 citations in the first year of operation.  This exceeds the number of citations issued by DPS&amp;C in every year since FY15-16.  </w:t>
      </w:r>
    </w:p>
    <w:p w:rsidR="008A59ED" w:rsidRPr="00FF00E0" w:rsidRDefault="008A59ED" w:rsidP="008A59ED">
      <w:pPr>
        <w:jc w:val="both"/>
      </w:pPr>
    </w:p>
    <w:p w:rsidR="0033392B" w:rsidRDefault="0033392B" w:rsidP="00E931EC">
      <w:pPr>
        <w:jc w:val="both"/>
        <w:rPr>
          <w:b/>
          <w:bCs/>
          <w:color w:val="000000" w:themeColor="text1"/>
          <w:szCs w:val="24"/>
        </w:rPr>
      </w:pPr>
    </w:p>
    <w:p w:rsidR="00E931EC" w:rsidRPr="00FF00E0" w:rsidRDefault="00E931EC" w:rsidP="00E931EC">
      <w:pPr>
        <w:jc w:val="both"/>
        <w:rPr>
          <w:b/>
          <w:bCs/>
          <w:color w:val="000000" w:themeColor="text1"/>
          <w:szCs w:val="24"/>
        </w:rPr>
      </w:pPr>
      <w:r w:rsidRPr="00FF00E0">
        <w:rPr>
          <w:b/>
          <w:bCs/>
          <w:color w:val="000000" w:themeColor="text1"/>
          <w:szCs w:val="24"/>
        </w:rPr>
        <w:t>Aviation</w:t>
      </w:r>
    </w:p>
    <w:p w:rsidR="00E931EC" w:rsidRPr="000E36B6" w:rsidRDefault="00E931EC" w:rsidP="00E931EC">
      <w:pPr>
        <w:jc w:val="both"/>
        <w:rPr>
          <w:bCs/>
          <w:szCs w:val="24"/>
        </w:rPr>
      </w:pPr>
      <w:r w:rsidRPr="000E36B6">
        <w:rPr>
          <w:bCs/>
          <w:szCs w:val="24"/>
        </w:rPr>
        <w:t>The Office of Multimodal Commerce - Aviation Division executed 66 grants for airport improvement and development projects in FY23.  The Federal Aviation Administration funded $76.4 million of projects through the Airport Improvement Program and the Bipartisan Infrastructure Law.  The remaining funding was invested from t</w:t>
      </w:r>
      <w:r>
        <w:rPr>
          <w:bCs/>
          <w:szCs w:val="24"/>
        </w:rPr>
        <w:t>he state aviation appropriation</w:t>
      </w:r>
      <w:r w:rsidRPr="000E36B6">
        <w:rPr>
          <w:bCs/>
          <w:szCs w:val="24"/>
        </w:rPr>
        <w:t xml:space="preserve"> in the amount of $21.4 million.  The total amount invested in the state aviation system for infrastructure and development in FY23 was just over $97.8 million.</w:t>
      </w:r>
    </w:p>
    <w:p w:rsidR="00E931EC" w:rsidRPr="000E36B6" w:rsidRDefault="00E931EC" w:rsidP="00E931EC">
      <w:pPr>
        <w:jc w:val="both"/>
        <w:rPr>
          <w:bCs/>
          <w:szCs w:val="24"/>
        </w:rPr>
      </w:pPr>
    </w:p>
    <w:p w:rsidR="00E931EC" w:rsidRPr="000E36B6" w:rsidRDefault="00E931EC" w:rsidP="00E931EC">
      <w:pPr>
        <w:jc w:val="both"/>
        <w:rPr>
          <w:bCs/>
          <w:szCs w:val="24"/>
        </w:rPr>
      </w:pPr>
      <w:r w:rsidRPr="000E36B6">
        <w:t>The Aviation Director continues to represent the Department of Transportation and Development – Office of Multimodal Commerce on the Louisiana Advanced Aviation and Drone Advisory Committee as the Secretary’s designee. The Assistant Aviation Director continues to represent the Department of Transportation and Development – Office of Multimodal Commerce at the Helicopter Safety Advisory Conference as the Aviation Director’s designee. The Assistant Aviation Director continues to represent the Office of Multimodal Commerce – Aviation Division on the DOTD Connected and Autonomous Vehicle Technology Team. The Assistant Aviation Director continues to represent the Department of Transportation and Development – Office of Multimodal Commerce on the Louisiana Air Ambulance Advisory Committee as the Aviation Director’s designee.      </w:t>
      </w:r>
    </w:p>
    <w:p w:rsidR="00E931EC" w:rsidRPr="000E36B6" w:rsidRDefault="00E931EC" w:rsidP="00E931EC">
      <w:pPr>
        <w:ind w:left="907"/>
        <w:jc w:val="both"/>
        <w:rPr>
          <w:b/>
          <w:bCs/>
          <w:szCs w:val="24"/>
        </w:rPr>
      </w:pPr>
    </w:p>
    <w:p w:rsidR="00E931EC" w:rsidRPr="00FF00E0" w:rsidRDefault="00E931EC" w:rsidP="00E931EC">
      <w:pPr>
        <w:jc w:val="both"/>
        <w:rPr>
          <w:b/>
          <w:bCs/>
          <w:color w:val="000000" w:themeColor="text1"/>
          <w:szCs w:val="24"/>
        </w:rPr>
      </w:pPr>
      <w:r w:rsidRPr="00FF00E0">
        <w:rPr>
          <w:b/>
          <w:bCs/>
          <w:color w:val="000000" w:themeColor="text1"/>
          <w:szCs w:val="24"/>
        </w:rPr>
        <w:t>Ports</w:t>
      </w:r>
    </w:p>
    <w:p w:rsidR="00E931EC" w:rsidRPr="000E36B6" w:rsidRDefault="00E931EC" w:rsidP="00E931EC">
      <w:pPr>
        <w:jc w:val="both"/>
        <w:rPr>
          <w:bCs/>
          <w:szCs w:val="24"/>
        </w:rPr>
      </w:pPr>
      <w:r w:rsidRPr="000E36B6">
        <w:rPr>
          <w:bCs/>
          <w:szCs w:val="24"/>
        </w:rPr>
        <w:t xml:space="preserve">The Port Construction and Development Priority Program completed construction on thirteen projects in FY 23.  These projects had </w:t>
      </w:r>
      <w:r>
        <w:rPr>
          <w:bCs/>
          <w:szCs w:val="24"/>
        </w:rPr>
        <w:t xml:space="preserve">a </w:t>
      </w:r>
      <w:r w:rsidRPr="000E36B6">
        <w:rPr>
          <w:bCs/>
          <w:szCs w:val="24"/>
        </w:rPr>
        <w:t>total cost of $</w:t>
      </w:r>
      <w:r>
        <w:rPr>
          <w:bCs/>
          <w:szCs w:val="24"/>
        </w:rPr>
        <w:t xml:space="preserve">11.5 </w:t>
      </w:r>
      <w:r w:rsidRPr="000E36B6">
        <w:rPr>
          <w:bCs/>
          <w:szCs w:val="24"/>
        </w:rPr>
        <w:t xml:space="preserve">million </w:t>
      </w:r>
      <w:r>
        <w:rPr>
          <w:bCs/>
          <w:szCs w:val="24"/>
        </w:rPr>
        <w:t>with</w:t>
      </w:r>
      <w:r w:rsidRPr="000E36B6">
        <w:rPr>
          <w:bCs/>
          <w:szCs w:val="24"/>
        </w:rPr>
        <w:t xml:space="preserve"> construction costs of $</w:t>
      </w:r>
      <w:r>
        <w:rPr>
          <w:bCs/>
          <w:szCs w:val="24"/>
        </w:rPr>
        <w:t>9.7</w:t>
      </w:r>
      <w:r w:rsidRPr="000E36B6">
        <w:rPr>
          <w:bCs/>
          <w:szCs w:val="24"/>
        </w:rPr>
        <w:t xml:space="preserve"> million</w:t>
      </w:r>
      <w:r>
        <w:rPr>
          <w:bCs/>
          <w:szCs w:val="24"/>
        </w:rPr>
        <w:t>,</w:t>
      </w:r>
      <w:r w:rsidRPr="000E36B6">
        <w:rPr>
          <w:bCs/>
          <w:szCs w:val="24"/>
        </w:rPr>
        <w:t xml:space="preserve"> with the State/Port Program providing $8.7 million in funding.  It is estimated that these projects created/retained 700 jobs and will produce $240 million in benefits over the life of </w:t>
      </w:r>
      <w:r>
        <w:rPr>
          <w:bCs/>
          <w:szCs w:val="24"/>
        </w:rPr>
        <w:t xml:space="preserve">the </w:t>
      </w:r>
      <w:r w:rsidRPr="000E36B6">
        <w:rPr>
          <w:bCs/>
          <w:szCs w:val="24"/>
        </w:rPr>
        <w:t>projects.</w:t>
      </w:r>
    </w:p>
    <w:p w:rsidR="00E931EC" w:rsidRPr="00FF00E0" w:rsidRDefault="00E931EC" w:rsidP="00E931EC">
      <w:pPr>
        <w:jc w:val="both"/>
        <w:rPr>
          <w:b/>
          <w:bCs/>
          <w:color w:val="000000" w:themeColor="text1"/>
          <w:szCs w:val="24"/>
        </w:rPr>
      </w:pPr>
    </w:p>
    <w:p w:rsidR="00E931EC" w:rsidRDefault="00E931EC" w:rsidP="00E931EC">
      <w:pPr>
        <w:rPr>
          <w:b/>
          <w:bCs/>
          <w:color w:val="000000" w:themeColor="text1"/>
          <w:szCs w:val="24"/>
        </w:rPr>
      </w:pPr>
      <w:r w:rsidRPr="00FF00E0">
        <w:rPr>
          <w:b/>
          <w:bCs/>
          <w:color w:val="000000" w:themeColor="text1"/>
          <w:szCs w:val="24"/>
        </w:rPr>
        <w:t>Railroads</w:t>
      </w:r>
    </w:p>
    <w:p w:rsidR="00E931EC" w:rsidRPr="00FF00E0" w:rsidRDefault="00E931EC" w:rsidP="00E931EC">
      <w:pPr>
        <w:jc w:val="both"/>
      </w:pPr>
      <w:r w:rsidRPr="00FF00E0">
        <w:t xml:space="preserve">The Louisiana Legislature passed Act 222 of 2019 creating the Short Line Railroad Infrastructure Improvement Program.  The Freight &amp; Passenger Rail Section is now working to develop program procedures and identify potential projects.  </w:t>
      </w:r>
      <w:r>
        <w:t xml:space="preserve">$3 Million of </w:t>
      </w:r>
      <w:r w:rsidRPr="00FF00E0">
        <w:t xml:space="preserve">Capital Outlay funds </w:t>
      </w:r>
      <w:r>
        <w:t xml:space="preserve">were </w:t>
      </w:r>
      <w:r w:rsidRPr="00FF00E0">
        <w:t xml:space="preserve">authorized </w:t>
      </w:r>
      <w:r>
        <w:t xml:space="preserve">in 2021 </w:t>
      </w:r>
      <w:r w:rsidRPr="00FF00E0">
        <w:t xml:space="preserve">for the initial projects identified under this program.  </w:t>
      </w:r>
      <w:r>
        <w:t xml:space="preserve">The first of these projects was completed in May 2023.  The second project is still underway and estimated to be completed in 2024.  Additional Capital Outlay funding was authorized in 2023.  </w:t>
      </w:r>
      <w:r w:rsidRPr="00FF00E0">
        <w:t xml:space="preserve">The program procedures and projects will be presented to the Joint Committee on Transportation in the spring. The Federal Railroad Administration (FRA) and gulf coast states represented by the Southern Rail Commission </w:t>
      </w:r>
      <w:r>
        <w:t xml:space="preserve">have </w:t>
      </w:r>
      <w:r w:rsidRPr="00FF00E0">
        <w:t>continue</w:t>
      </w:r>
      <w:r>
        <w:t>d</w:t>
      </w:r>
      <w:r w:rsidRPr="00FF00E0">
        <w:t xml:space="preserve"> </w:t>
      </w:r>
      <w:r>
        <w:t>to</w:t>
      </w:r>
      <w:r w:rsidRPr="00FF00E0">
        <w:t xml:space="preserve"> negotiate with the CSX railroad and Amtrak to restore passenger service between New Orleans and Mobile as the first phase of restoring service to Orlando, Florida.</w:t>
      </w:r>
      <w:r>
        <w:t xml:space="preserve">  Infrastructure improvements required for this service include railyard and track work in New Orleans.</w:t>
      </w:r>
      <w:r w:rsidRPr="00FF00E0">
        <w:t xml:space="preserve">   </w:t>
      </w:r>
      <w:r>
        <w:t xml:space="preserve">A Service Development Agreement between DOTD and Amtrak to implement the Baton Rouge – New Orleans Passenger Train has been signed.  Federal Grant applications for funding assistance to improve the track and bridges along the corridor have been submitted and are awaiting the award announcement.  Planning and construction will begin when the funding grants are awarded.  The Environmental Study of the corridor is underway and expected to be completed at the end of 2025.  </w:t>
      </w:r>
      <w:r w:rsidRPr="00FF00E0">
        <w:t xml:space="preserve">The FRA and DOTD have mutually agreed to temporarily suspend the current New Orleans Rail Gateway Environmental Study in favor of studying individual projects within the Gateway Program of projects.  The first project being studied is the consolidation of two railroad grade crossings on Jefferson Highway in Jefferson Parish near the site of the proposed </w:t>
      </w:r>
      <w:proofErr w:type="spellStart"/>
      <w:r w:rsidRPr="00FF00E0">
        <w:t>Ochsner</w:t>
      </w:r>
      <w:proofErr w:type="spellEnd"/>
      <w:r w:rsidRPr="00FF00E0">
        <w:t xml:space="preserve"> Health Foundation Hospital.  The second project is the closure/grade s</w:t>
      </w:r>
      <w:r>
        <w:t>e</w:t>
      </w:r>
      <w:r w:rsidRPr="00FF00E0">
        <w:t xml:space="preserve">paration of four rail crossings in Avondale.  Other individual projects will be studied as funding becomes available.  The Louisiana Statewide Rail Plan update </w:t>
      </w:r>
      <w:r>
        <w:t>is being completed</w:t>
      </w:r>
      <w:r w:rsidRPr="00FF00E0">
        <w:t xml:space="preserve"> as part of the Statewide Transportation Plan.  The Rail Plan will be completed by </w:t>
      </w:r>
      <w:proofErr w:type="gramStart"/>
      <w:r w:rsidRPr="00FF00E0">
        <w:t>Fall</w:t>
      </w:r>
      <w:proofErr w:type="gramEnd"/>
      <w:r w:rsidRPr="00FF00E0">
        <w:t xml:space="preserve"> 2024.</w:t>
      </w:r>
    </w:p>
    <w:p w:rsidR="00E931EC" w:rsidRPr="00FF00E0" w:rsidRDefault="00E931EC" w:rsidP="00E931EC">
      <w:pPr>
        <w:rPr>
          <w:b/>
          <w:bCs/>
          <w:color w:val="000000" w:themeColor="text1"/>
          <w:szCs w:val="24"/>
        </w:rPr>
      </w:pPr>
    </w:p>
    <w:p w:rsidR="00E931EC" w:rsidRPr="00FF00E0" w:rsidRDefault="00E931EC" w:rsidP="00E931EC">
      <w:pPr>
        <w:pStyle w:val="Caption"/>
        <w:rPr>
          <w:rFonts w:eastAsia="Calibri"/>
          <w:b/>
          <w:snapToGrid/>
          <w:bdr w:val="none" w:sz="0" w:space="0" w:color="auto" w:frame="1"/>
        </w:rPr>
      </w:pPr>
      <w:r w:rsidRPr="00FF00E0">
        <w:rPr>
          <w:rFonts w:eastAsia="Calibri"/>
          <w:b/>
          <w:snapToGrid/>
          <w:bdr w:val="none" w:sz="0" w:space="0" w:color="auto" w:frame="1"/>
        </w:rPr>
        <w:t>Commercial Trucking </w:t>
      </w:r>
    </w:p>
    <w:p w:rsidR="00E931EC" w:rsidRDefault="00E931EC" w:rsidP="00E931EC">
      <w:pPr>
        <w:rPr>
          <w:snapToGrid/>
          <w:sz w:val="22"/>
        </w:rPr>
      </w:pPr>
      <w:r>
        <w:lastRenderedPageBreak/>
        <w:t xml:space="preserve">The Commercial Trucking Director has continued to represent the Department of Transportation and Development on the Trucking Research and Education Council as the Secretary’s designee.  </w:t>
      </w:r>
    </w:p>
    <w:p w:rsidR="00E931EC" w:rsidRDefault="00E931EC" w:rsidP="00E931EC"/>
    <w:p w:rsidR="00E931EC" w:rsidRDefault="00E931EC" w:rsidP="00E931EC">
      <w:r>
        <w:t xml:space="preserve">The trucking division helped identify and marshal the application and award of 10.5 million dollars of US DOT </w:t>
      </w:r>
      <w:proofErr w:type="gramStart"/>
      <w:r>
        <w:t>RAISE  Grant</w:t>
      </w:r>
      <w:proofErr w:type="gramEnd"/>
      <w:r>
        <w:t xml:space="preserve"> Funding for the Ouachita River and La Hwy 165 Multimodal Connectivity and Safety Project for the Columbia Port Commission in Caldwell Parish, Louisiana.  The project will fund the land acquisition and construction activities for a Truck Parking Facility located near the inland Port of Columbia, Ouachita River, and LA State Highway 165. This includes surface parking for approximately 50 commercial trucks, 100 cars, and 12 electric vehicle (EV) charging stations.</w:t>
      </w:r>
    </w:p>
    <w:p w:rsidR="00E931EC" w:rsidRDefault="00E931EC" w:rsidP="00E931EC"/>
    <w:p w:rsidR="00E931EC" w:rsidRDefault="00E931EC" w:rsidP="00E931EC">
      <w:r>
        <w:t>The Commercial Trucking Director was appointed to and represents the Department of Transportation and Development on The Task Force on Available and Affordable Commercial Motor Vehicle Insurance.  The task force studies, reviews, and reports on impediments to obtaining affordable commercial motor vehicle insurance in Louisiana and was created by SCR 19, 2023 RS.</w:t>
      </w:r>
    </w:p>
    <w:p w:rsidR="00E931EC" w:rsidRPr="001F57CC" w:rsidRDefault="00E931EC" w:rsidP="00E931EC">
      <w:pPr>
        <w:ind w:left="907"/>
        <w:rPr>
          <w:b/>
          <w:bCs/>
          <w:sz w:val="22"/>
        </w:rPr>
      </w:pPr>
    </w:p>
    <w:p w:rsidR="00E931EC" w:rsidRDefault="00E931EC" w:rsidP="00E931EC">
      <w:pPr>
        <w:rPr>
          <w:b/>
          <w:bCs/>
        </w:rPr>
      </w:pPr>
      <w:r w:rsidRPr="00FF00E0">
        <w:rPr>
          <w:b/>
          <w:bCs/>
        </w:rPr>
        <w:t>Waterways</w:t>
      </w:r>
    </w:p>
    <w:p w:rsidR="00E931EC" w:rsidRPr="00077765" w:rsidRDefault="00E931EC" w:rsidP="00E931EC">
      <w:pPr>
        <w:jc w:val="both"/>
      </w:pPr>
      <w:r w:rsidRPr="00077765">
        <w:t xml:space="preserve">The state match requirement for the Mississippi River Deepening project is $87.5 million.  In order to meet this requirement, DOTD secured appropriations in Act 465 of the 2023 Legislative Session comprising $42.5 million Cash Line of Credit and $28 million Non-CLOC; additionally, the United Soybean Board is providing a $2 million contribution to be used as State match.  As the project extends into the next FY and beyond, the total cost will rise to approximately $262.3 million.  Further, the Waterways Section also expended $ $8,733,718 in funding for the </w:t>
      </w:r>
      <w:proofErr w:type="spellStart"/>
      <w:r w:rsidRPr="00077765">
        <w:t>Acadiana</w:t>
      </w:r>
      <w:proofErr w:type="spellEnd"/>
      <w:r w:rsidRPr="00077765">
        <w:t xml:space="preserve"> to the Gulf of Mexico Access Channel for infrastructure improvements in advance of channel deepening in FY23. Also the Houma Navigation Canal Deepening Project kicked off, and during FY23, the Waterways section provided $1,005,683 in funding for project design and feasibility analysis.</w:t>
      </w:r>
    </w:p>
    <w:p w:rsidR="000A1B20" w:rsidRPr="00FF00E0" w:rsidRDefault="000A1B20" w:rsidP="001F57CC">
      <w:pPr>
        <w:rPr>
          <w:b/>
          <w:lang w:val="en"/>
        </w:rPr>
      </w:pPr>
    </w:p>
    <w:p w:rsidR="00C611E0" w:rsidRPr="00FF00E0" w:rsidRDefault="00C611E0" w:rsidP="001F57CC">
      <w:pPr>
        <w:rPr>
          <w:b/>
          <w:lang w:val="en"/>
        </w:rPr>
      </w:pPr>
      <w:r w:rsidRPr="00FF00E0">
        <w:rPr>
          <w:b/>
          <w:lang w:val="en"/>
        </w:rPr>
        <w:t>Statewide Topographic Mapping Program</w:t>
      </w:r>
    </w:p>
    <w:p w:rsidR="00E953F0" w:rsidRPr="00E60ABB" w:rsidRDefault="00E953F0" w:rsidP="00E953F0">
      <w:pPr>
        <w:jc w:val="both"/>
        <w:rPr>
          <w:lang w:val="en"/>
        </w:rPr>
      </w:pPr>
      <w:r w:rsidRPr="00E60ABB">
        <w:rPr>
          <w:lang w:val="en"/>
        </w:rPr>
        <w:t xml:space="preserve">Pursuant to R.S. 48:36, DOTD has established the Statewide Topographic Mapping Program (Program), supported by technical experts from DOTD, the Division of Administration’s Office of Technology Services (OTS), other state agencies, local and federal government entities, and private industry.  The Program serves to facilitate the interoperability of geospatial data through collaboration of stakeholders from state, local, federal, and private partners.  DOTD has continued to leverage the enhanced IT infrastructure built out in the past few years and has contracted with industry-leading consultants to assist the Program with data management, training DOTD employees, and further developing standard operating procedures.  </w:t>
      </w:r>
    </w:p>
    <w:p w:rsidR="00E953F0" w:rsidRPr="00E60ABB" w:rsidRDefault="00E953F0" w:rsidP="00E953F0">
      <w:pPr>
        <w:ind w:left="907"/>
        <w:jc w:val="both"/>
        <w:rPr>
          <w:lang w:val="en"/>
        </w:rPr>
      </w:pPr>
    </w:p>
    <w:p w:rsidR="00E953F0" w:rsidRPr="00E60ABB" w:rsidRDefault="00E953F0" w:rsidP="00E953F0">
      <w:pPr>
        <w:jc w:val="both"/>
        <w:rPr>
          <w:lang w:val="en"/>
        </w:rPr>
      </w:pPr>
      <w:r w:rsidRPr="00E60ABB">
        <w:rPr>
          <w:lang w:val="en"/>
        </w:rPr>
        <w:t xml:space="preserve">Through its curation and management of the DOTD Open Data portal, the Program continues to deliver access to up-to-date, governed, and authoritative geospatial data sources to Program partners. To date, the Open Data portal has over 100 data sets related to topographic categories such as Transportation, Boundaries, Public Land Survey, and others. Going forward, the Program will continue to identify, vet, and publish more geospatial data sets from systems of record that serve to fill out the topographic map of Louisiana. </w:t>
      </w:r>
    </w:p>
    <w:p w:rsidR="00E953F0" w:rsidRPr="00E60ABB" w:rsidRDefault="00E953F0" w:rsidP="00E953F0">
      <w:pPr>
        <w:jc w:val="both"/>
        <w:rPr>
          <w:lang w:val="en"/>
        </w:rPr>
      </w:pPr>
    </w:p>
    <w:p w:rsidR="00E953F0" w:rsidRPr="00E60ABB" w:rsidRDefault="00E953F0" w:rsidP="00E953F0">
      <w:pPr>
        <w:jc w:val="both"/>
        <w:rPr>
          <w:lang w:val="en"/>
        </w:rPr>
      </w:pPr>
      <w:r w:rsidRPr="00E60ABB">
        <w:rPr>
          <w:lang w:val="en"/>
        </w:rPr>
        <w:t xml:space="preserve">The Program has continued to collaborate with internal DOTD Sections, primarily the DOTD </w:t>
      </w:r>
      <w:r w:rsidRPr="00E60ABB">
        <w:rPr>
          <w:lang w:val="en"/>
        </w:rPr>
        <w:lastRenderedPageBreak/>
        <w:t xml:space="preserve">Location &amp; Survey, Remote Sensing team and the DOTD GIS Mapping team, to collect, process, and publish wide-area imagery. In addition to the state-wide imagery collected and processed by internal DOTD resources, and in an effort to reduce redundancy, in FY23 the Program also collaborated with several local government entities to leverage imagery collected via local resources while sharing the state-wide imagery collected through Program activities. </w:t>
      </w:r>
    </w:p>
    <w:p w:rsidR="00E953F0" w:rsidRPr="00E60ABB" w:rsidRDefault="00E953F0" w:rsidP="00E953F0">
      <w:pPr>
        <w:jc w:val="both"/>
        <w:rPr>
          <w:lang w:val="en"/>
        </w:rPr>
      </w:pPr>
    </w:p>
    <w:p w:rsidR="00E953F0" w:rsidRPr="00E60ABB" w:rsidRDefault="00E953F0" w:rsidP="00E953F0">
      <w:pPr>
        <w:jc w:val="both"/>
        <w:rPr>
          <w:lang w:val="en"/>
        </w:rPr>
      </w:pPr>
      <w:r w:rsidRPr="00E60ABB">
        <w:rPr>
          <w:lang w:val="en"/>
        </w:rPr>
        <w:t>Specific Photogrammetry accomplishments in FY23 include:</w:t>
      </w:r>
    </w:p>
    <w:p w:rsidR="00E953F0" w:rsidRPr="00E60ABB" w:rsidRDefault="00E953F0" w:rsidP="00E953F0">
      <w:pPr>
        <w:jc w:val="both"/>
        <w:rPr>
          <w:lang w:val="en"/>
        </w:rPr>
      </w:pPr>
    </w:p>
    <w:p w:rsidR="00E953F0" w:rsidRPr="00E60ABB" w:rsidRDefault="00E953F0" w:rsidP="00E953F0">
      <w:pPr>
        <w:pStyle w:val="ListParagraph"/>
        <w:numPr>
          <w:ilvl w:val="0"/>
          <w:numId w:val="37"/>
        </w:numPr>
        <w:ind w:left="630" w:hanging="270"/>
        <w:jc w:val="both"/>
        <w:rPr>
          <w:lang w:val="en"/>
        </w:rPr>
      </w:pPr>
      <w:r w:rsidRPr="00E60ABB">
        <w:rPr>
          <w:lang w:val="en"/>
        </w:rPr>
        <w:t xml:space="preserve">Collected </w:t>
      </w:r>
      <w:r w:rsidRPr="00CB32B9">
        <w:rPr>
          <w:b/>
          <w:lang w:val="en"/>
        </w:rPr>
        <w:t>(</w:t>
      </w:r>
      <w:r w:rsidRPr="00E60ABB">
        <w:rPr>
          <w:b/>
          <w:lang w:val="en"/>
        </w:rPr>
        <w:t>6.5)</w:t>
      </w:r>
      <w:r w:rsidRPr="00E60ABB">
        <w:rPr>
          <w:lang w:val="en"/>
        </w:rPr>
        <w:t xml:space="preserve"> Blocks of imagery (3-5, 10, 12, 17-South, &amp; 18). This equates to approximately 11,521 square mile of imagery collected throughout the State of Louisiana.</w:t>
      </w:r>
    </w:p>
    <w:p w:rsidR="00E953F0" w:rsidRPr="00E60ABB" w:rsidRDefault="00E953F0" w:rsidP="00E953F0">
      <w:pPr>
        <w:pStyle w:val="ListParagraph"/>
        <w:numPr>
          <w:ilvl w:val="0"/>
          <w:numId w:val="37"/>
        </w:numPr>
        <w:ind w:left="630" w:hanging="270"/>
        <w:jc w:val="both"/>
        <w:rPr>
          <w:lang w:val="en"/>
        </w:rPr>
      </w:pPr>
      <w:r w:rsidRPr="00E60ABB">
        <w:rPr>
          <w:lang w:val="en"/>
        </w:rPr>
        <w:t xml:space="preserve">Processed </w:t>
      </w:r>
      <w:r w:rsidRPr="00CB32B9">
        <w:rPr>
          <w:b/>
          <w:lang w:val="en"/>
        </w:rPr>
        <w:t>(</w:t>
      </w:r>
      <w:r w:rsidRPr="00E60ABB">
        <w:rPr>
          <w:b/>
          <w:lang w:val="en"/>
        </w:rPr>
        <w:t xml:space="preserve">6) </w:t>
      </w:r>
      <w:r w:rsidRPr="00E60ABB">
        <w:rPr>
          <w:lang w:val="en"/>
        </w:rPr>
        <w:t>Blocks of imagery (2-5, 10, &amp; 12). This equates to approximately 10,121 square miles of imagery processed throughout the State of Louisiana.</w:t>
      </w:r>
    </w:p>
    <w:p w:rsidR="00E953F0" w:rsidRPr="00E60ABB" w:rsidRDefault="00E953F0" w:rsidP="00E953F0">
      <w:pPr>
        <w:pStyle w:val="ListParagraph"/>
        <w:numPr>
          <w:ilvl w:val="0"/>
          <w:numId w:val="37"/>
        </w:numPr>
        <w:ind w:left="630" w:hanging="270"/>
        <w:jc w:val="both"/>
        <w:rPr>
          <w:lang w:val="en"/>
        </w:rPr>
      </w:pPr>
      <w:r w:rsidRPr="00E60ABB">
        <w:rPr>
          <w:lang w:val="en"/>
        </w:rPr>
        <w:t xml:space="preserve">Transmitted </w:t>
      </w:r>
      <w:r w:rsidRPr="00CB32B9">
        <w:rPr>
          <w:b/>
          <w:lang w:val="en"/>
        </w:rPr>
        <w:t>(</w:t>
      </w:r>
      <w:r w:rsidRPr="00E60ABB">
        <w:rPr>
          <w:b/>
          <w:lang w:val="en"/>
        </w:rPr>
        <w:t xml:space="preserve">8.5) </w:t>
      </w:r>
      <w:r w:rsidRPr="00E60ABB">
        <w:rPr>
          <w:lang w:val="en"/>
        </w:rPr>
        <w:t>Blocks of imagery (1, 2, 5, 6, 11, 13, 14, &amp; 25-South). This equates to approximately 14,500 square miles of imagery transmitted to Section 21.</w:t>
      </w:r>
    </w:p>
    <w:p w:rsidR="00E953F0" w:rsidRPr="00E60ABB" w:rsidRDefault="00E953F0" w:rsidP="00E953F0">
      <w:pPr>
        <w:ind w:left="907"/>
        <w:jc w:val="both"/>
        <w:rPr>
          <w:lang w:val="en"/>
        </w:rPr>
      </w:pPr>
    </w:p>
    <w:p w:rsidR="00E953F0" w:rsidRPr="00E60ABB" w:rsidRDefault="00E953F0" w:rsidP="00E953F0">
      <w:pPr>
        <w:jc w:val="both"/>
        <w:rPr>
          <w:lang w:val="en"/>
        </w:rPr>
      </w:pPr>
      <w:r w:rsidRPr="00E60ABB">
        <w:rPr>
          <w:lang w:val="en"/>
        </w:rPr>
        <w:t xml:space="preserve">The Program has continued to foster the agreement with the United States Geological Survey (USGS) and the United States Department of Agriculture (USDA) to increase the quality of LiDAR data collected in Louisiana. Likewise, the Program has continued to collaborate with the Louisiana Watershed Initiative in the collection and processing of wide-area LiDAR throughout the state.  Once collected, processed, and quality controlled, the LiDAR data products provided by the Program will serve to provide the Louisiana Watershed Initiative (LWI) with critical inputs to their ongoing watershed modelling activities. In FY 23, the Program initiated activities to prepare for participation in the USGS 3DEP BAA in FY 24 that will add over 5,000 additional square miles of QL1 LiDAR data to our collection. In total, the Program is coordinating and participating in the collection and publication of high quality (i.e. QL1), wide-area LiDAR data across the approximate 52,000 square miles within Louisiana’s boarders.  </w:t>
      </w:r>
    </w:p>
    <w:p w:rsidR="00E953F0" w:rsidRPr="00E60ABB" w:rsidRDefault="00E953F0" w:rsidP="00E953F0">
      <w:pPr>
        <w:jc w:val="both"/>
        <w:rPr>
          <w:lang w:val="en"/>
        </w:rPr>
      </w:pPr>
    </w:p>
    <w:p w:rsidR="00E953F0" w:rsidRPr="00E60ABB" w:rsidRDefault="00E953F0" w:rsidP="00E953F0">
      <w:pPr>
        <w:widowControl/>
        <w:spacing w:after="160" w:line="259" w:lineRule="auto"/>
        <w:rPr>
          <w:lang w:val="en"/>
        </w:rPr>
      </w:pPr>
      <w:r w:rsidRPr="00E60ABB">
        <w:rPr>
          <w:lang w:val="en"/>
        </w:rPr>
        <w:t>Specific LiDAR accomplishments in FY23 include:</w:t>
      </w:r>
    </w:p>
    <w:p w:rsidR="00E953F0" w:rsidRPr="00E60ABB" w:rsidRDefault="00E953F0" w:rsidP="00E953F0">
      <w:pPr>
        <w:pStyle w:val="ListParagraph"/>
        <w:jc w:val="both"/>
        <w:rPr>
          <w:lang w:val="en"/>
        </w:rPr>
      </w:pPr>
    </w:p>
    <w:p w:rsidR="00E953F0" w:rsidRPr="00E60ABB" w:rsidRDefault="00E953F0" w:rsidP="00E953F0">
      <w:pPr>
        <w:pStyle w:val="ListParagraph"/>
        <w:numPr>
          <w:ilvl w:val="0"/>
          <w:numId w:val="30"/>
        </w:numPr>
        <w:jc w:val="both"/>
        <w:rPr>
          <w:lang w:val="en"/>
        </w:rPr>
      </w:pPr>
      <w:r w:rsidRPr="00E60ABB">
        <w:rPr>
          <w:lang w:val="en"/>
        </w:rPr>
        <w:t>LiDAR data for the Greater New Orleans area was made available via The National Map covering approximately 2,800 square miles.</w:t>
      </w:r>
    </w:p>
    <w:p w:rsidR="00E953F0" w:rsidRPr="00E60ABB" w:rsidRDefault="00E953F0" w:rsidP="00E953F0">
      <w:pPr>
        <w:pStyle w:val="ListParagraph"/>
        <w:numPr>
          <w:ilvl w:val="0"/>
          <w:numId w:val="30"/>
        </w:numPr>
        <w:jc w:val="both"/>
        <w:rPr>
          <w:lang w:val="en"/>
        </w:rPr>
      </w:pPr>
      <w:r w:rsidRPr="00E60ABB">
        <w:rPr>
          <w:lang w:val="en"/>
        </w:rPr>
        <w:t>Planned, collected, processed, and transmitted LiDAR data for engineering project H.013284 – MRB SOUTH GBR: LA 1 TO LA 30 CONNECTOR to Critical Projects Division.</w:t>
      </w:r>
    </w:p>
    <w:p w:rsidR="00E953F0" w:rsidRPr="00E60ABB" w:rsidRDefault="00E953F0" w:rsidP="00E953F0">
      <w:pPr>
        <w:jc w:val="both"/>
        <w:rPr>
          <w:lang w:val="en"/>
        </w:rPr>
      </w:pPr>
    </w:p>
    <w:p w:rsidR="00E953F0" w:rsidRPr="00E60ABB" w:rsidRDefault="00E953F0" w:rsidP="00E953F0">
      <w:pPr>
        <w:jc w:val="both"/>
        <w:rPr>
          <w:lang w:val="en"/>
        </w:rPr>
      </w:pPr>
      <w:r w:rsidRPr="00E60ABB">
        <w:rPr>
          <w:lang w:val="en"/>
        </w:rPr>
        <w:t>It is to be noted that the LiDAR sensor malfunctioned a couple of times and had to be shipped off for inspection by the manufacturer during FY23.  Plans are being made to replace this equipment in FY24.</w:t>
      </w:r>
    </w:p>
    <w:p w:rsidR="00E953F0" w:rsidRPr="00E60ABB" w:rsidRDefault="00E953F0" w:rsidP="00E953F0">
      <w:pPr>
        <w:jc w:val="both"/>
        <w:rPr>
          <w:lang w:val="en"/>
        </w:rPr>
      </w:pPr>
    </w:p>
    <w:p w:rsidR="00E953F0" w:rsidRPr="00E60ABB" w:rsidRDefault="00E953F0" w:rsidP="00E953F0">
      <w:pPr>
        <w:jc w:val="both"/>
        <w:rPr>
          <w:lang w:val="en"/>
        </w:rPr>
      </w:pPr>
      <w:r w:rsidRPr="00E60ABB">
        <w:rPr>
          <w:lang w:val="en"/>
        </w:rPr>
        <w:t>Along with significantly enhancing the quality of geospatial data to eventually fill out the topographic map of Louisiana, the above data will continue to be valuable to business uses such as transportation design and planning, watershed modeling, emergency response and damage assessments, and infrastructure management and protection.</w:t>
      </w:r>
    </w:p>
    <w:p w:rsidR="00472B67" w:rsidRPr="00E23ACB" w:rsidRDefault="00472B67" w:rsidP="00524C1C">
      <w:pPr>
        <w:jc w:val="both"/>
      </w:pPr>
    </w:p>
    <w:p w:rsidR="00BC197A" w:rsidRDefault="00BC197A" w:rsidP="00967A45">
      <w:pPr>
        <w:pStyle w:val="H4"/>
        <w:keepNext w:val="0"/>
        <w:numPr>
          <w:ilvl w:val="0"/>
          <w:numId w:val="5"/>
        </w:numPr>
        <w:tabs>
          <w:tab w:val="left" w:pos="360"/>
          <w:tab w:val="left" w:pos="540"/>
          <w:tab w:val="left" w:pos="1080"/>
          <w:tab w:val="left" w:pos="1440"/>
          <w:tab w:val="left" w:pos="1800"/>
          <w:tab w:val="left" w:pos="2160"/>
        </w:tabs>
        <w:spacing w:before="0" w:after="0"/>
        <w:jc w:val="both"/>
        <w:outlineLvl w:val="9"/>
        <w:rPr>
          <w:b w:val="0"/>
          <w:bCs/>
        </w:rPr>
      </w:pPr>
      <w:r>
        <w:rPr>
          <w:b w:val="0"/>
          <w:bCs/>
        </w:rPr>
        <w:t>Why is this success significant?</w:t>
      </w:r>
    </w:p>
    <w:p w:rsidR="00BC197A" w:rsidRDefault="00BC197A" w:rsidP="00BC197A"/>
    <w:p w:rsidR="00180326" w:rsidRPr="00537090" w:rsidRDefault="00180326" w:rsidP="005807CD">
      <w:pPr>
        <w:jc w:val="both"/>
        <w:rPr>
          <w:rFonts w:eastAsia="Calibri"/>
          <w:bCs/>
          <w:snapToGrid/>
          <w:szCs w:val="24"/>
        </w:rPr>
      </w:pPr>
      <w:r w:rsidRPr="00537090">
        <w:rPr>
          <w:rFonts w:eastAsia="Calibri"/>
          <w:bCs/>
          <w:snapToGrid/>
          <w:szCs w:val="24"/>
        </w:rPr>
        <w:t xml:space="preserve">Transportation infrastructure is essential to society and the economy.  </w:t>
      </w:r>
      <w:r w:rsidR="00F6046D" w:rsidRPr="00537090">
        <w:rPr>
          <w:rFonts w:eastAsia="Calibri"/>
          <w:bCs/>
          <w:snapToGrid/>
          <w:szCs w:val="24"/>
        </w:rPr>
        <w:t xml:space="preserve">The movement of people, goods, and services are enhanced through transportation infrastructure projects.  </w:t>
      </w:r>
    </w:p>
    <w:p w:rsidR="00E25CCF" w:rsidRPr="00537090" w:rsidRDefault="00E25CCF" w:rsidP="00E25CCF">
      <w:pPr>
        <w:rPr>
          <w:rFonts w:ascii="Garamond" w:hAnsi="Garamond"/>
          <w:snapToGrid/>
          <w:color w:val="1F497D"/>
          <w:szCs w:val="24"/>
        </w:rPr>
      </w:pPr>
    </w:p>
    <w:p w:rsidR="00180326" w:rsidRDefault="00E25CCF" w:rsidP="005807CD">
      <w:pPr>
        <w:jc w:val="both"/>
      </w:pPr>
      <w:r w:rsidRPr="00822711">
        <w:t xml:space="preserve">Louisiana faces </w:t>
      </w:r>
      <w:proofErr w:type="gramStart"/>
      <w:r w:rsidRPr="00822711">
        <w:t>a</w:t>
      </w:r>
      <w:proofErr w:type="gramEnd"/>
      <w:r w:rsidRPr="00822711">
        <w:t xml:space="preserve"> $</w:t>
      </w:r>
      <w:r w:rsidR="00383B21">
        <w:t>18.771</w:t>
      </w:r>
      <w:r w:rsidR="00EA6C8E" w:rsidRPr="00822711">
        <w:rPr>
          <w:b/>
        </w:rPr>
        <w:t xml:space="preserve"> </w:t>
      </w:r>
      <w:r w:rsidRPr="00822711">
        <w:t xml:space="preserve">billion backlog of unfunded state highway transportation needs that are necessary for public safety, congestion relief, and preservation of the state’s existing infrastructure.  </w:t>
      </w:r>
      <w:r w:rsidR="0001061E">
        <w:t>Further, the state faces a need for $14.226 billion in major projects (Priority A and B Megaprojects) that are critical to improving traffic flow in urban areas, but which do not currently have a dedicated funding stream.  By taking maximum advantage of all available funding sources, DOTD was able to accelerate project delivery for construction projects that would have been delayed without the available funding.</w:t>
      </w:r>
    </w:p>
    <w:p w:rsidR="007A2105" w:rsidRPr="00FF00E0" w:rsidRDefault="007A2105" w:rsidP="007A2105">
      <w:pPr>
        <w:pStyle w:val="H4"/>
        <w:keepNext w:val="0"/>
        <w:tabs>
          <w:tab w:val="left" w:pos="360"/>
          <w:tab w:val="left" w:pos="540"/>
          <w:tab w:val="left" w:pos="1080"/>
          <w:tab w:val="left" w:pos="1440"/>
          <w:tab w:val="left" w:pos="1800"/>
          <w:tab w:val="left" w:pos="2160"/>
        </w:tabs>
        <w:spacing w:before="0" w:after="0"/>
        <w:ind w:left="540"/>
        <w:jc w:val="both"/>
        <w:outlineLvl w:val="9"/>
        <w:rPr>
          <w:b w:val="0"/>
          <w:bCs/>
        </w:rPr>
      </w:pPr>
    </w:p>
    <w:p w:rsidR="00BC197A" w:rsidRPr="00FF00E0" w:rsidRDefault="00BC197A" w:rsidP="007A2105">
      <w:pPr>
        <w:pStyle w:val="H4"/>
        <w:keepNext w:val="0"/>
        <w:numPr>
          <w:ilvl w:val="0"/>
          <w:numId w:val="5"/>
        </w:numPr>
        <w:tabs>
          <w:tab w:val="left" w:pos="360"/>
          <w:tab w:val="left" w:pos="540"/>
          <w:tab w:val="left" w:pos="1080"/>
          <w:tab w:val="left" w:pos="1440"/>
          <w:tab w:val="left" w:pos="1800"/>
          <w:tab w:val="left" w:pos="2160"/>
        </w:tabs>
        <w:spacing w:before="0" w:after="0"/>
        <w:jc w:val="both"/>
        <w:outlineLvl w:val="9"/>
        <w:rPr>
          <w:b w:val="0"/>
          <w:bCs/>
        </w:rPr>
      </w:pPr>
      <w:r w:rsidRPr="00FF00E0">
        <w:rPr>
          <w:b w:val="0"/>
          <w:bCs/>
        </w:rPr>
        <w:t xml:space="preserve">Who benefits and how? </w:t>
      </w:r>
    </w:p>
    <w:p w:rsidR="00BC197A" w:rsidRPr="00FF00E0" w:rsidRDefault="00BC197A" w:rsidP="00BC197A"/>
    <w:p w:rsidR="00CE5DFE" w:rsidRPr="00FF00E0" w:rsidRDefault="00BC197A" w:rsidP="005807CD">
      <w:pPr>
        <w:jc w:val="both"/>
        <w:rPr>
          <w:noProof/>
          <w:snapToGrid/>
        </w:rPr>
      </w:pPr>
      <w:r w:rsidRPr="00FF00E0">
        <w:rPr>
          <w:rFonts w:eastAsia="Calibri"/>
          <w:snapToGrid/>
          <w:szCs w:val="24"/>
        </w:rPr>
        <w:t xml:space="preserve">The users of Louisiana’s transportation system benefit from </w:t>
      </w:r>
      <w:r w:rsidR="00F6046D" w:rsidRPr="00FF00E0">
        <w:rPr>
          <w:rFonts w:eastAsia="Calibri"/>
          <w:snapToGrid/>
          <w:szCs w:val="24"/>
        </w:rPr>
        <w:t xml:space="preserve">improved safety, lower operating costs, and improved mobility.  Business and industry benefits from increased productivity and reduced costs.  Further economic development opportunities are enhanced with an improved transportation system.  </w:t>
      </w:r>
    </w:p>
    <w:p w:rsidR="00CE5DFE" w:rsidRPr="00FF00E0" w:rsidRDefault="00CE5DFE" w:rsidP="0066243B">
      <w:pPr>
        <w:jc w:val="center"/>
      </w:pPr>
    </w:p>
    <w:p w:rsidR="007B1C7B" w:rsidRPr="00FF00E0" w:rsidRDefault="007B1C7B" w:rsidP="00967A45">
      <w:pPr>
        <w:pStyle w:val="H4"/>
        <w:keepNext w:val="0"/>
        <w:numPr>
          <w:ilvl w:val="0"/>
          <w:numId w:val="5"/>
        </w:numPr>
        <w:tabs>
          <w:tab w:val="left" w:pos="360"/>
          <w:tab w:val="left" w:pos="540"/>
          <w:tab w:val="left" w:pos="1080"/>
          <w:tab w:val="left" w:pos="1440"/>
          <w:tab w:val="left" w:pos="1800"/>
          <w:tab w:val="left" w:pos="2160"/>
        </w:tabs>
        <w:spacing w:before="0" w:after="0"/>
        <w:jc w:val="both"/>
        <w:outlineLvl w:val="9"/>
        <w:rPr>
          <w:b w:val="0"/>
          <w:bCs/>
        </w:rPr>
      </w:pPr>
      <w:r w:rsidRPr="00FF00E0">
        <w:rPr>
          <w:b w:val="0"/>
          <w:bCs/>
        </w:rPr>
        <w:t>How was the accomplishment achieved?</w:t>
      </w:r>
      <w:r w:rsidR="00E92270" w:rsidRPr="00FF00E0">
        <w:rPr>
          <w:noProof/>
          <w:snapToGrid/>
        </w:rPr>
        <w:t xml:space="preserve"> </w:t>
      </w:r>
    </w:p>
    <w:p w:rsidR="00AC2080" w:rsidRPr="00FF00E0" w:rsidRDefault="00AC2080" w:rsidP="00AC2080"/>
    <w:p w:rsidR="00AC2080" w:rsidRPr="00FF00E0" w:rsidRDefault="00AC2080" w:rsidP="005807CD">
      <w:pPr>
        <w:jc w:val="both"/>
        <w:rPr>
          <w:i/>
        </w:rPr>
      </w:pPr>
      <w:r w:rsidRPr="00FF00E0">
        <w:t>This accomplishment was achieved through the teamwork of everyone involved in the project delivery process – from planning &amp; programming, to environmental documentation &amp; mitigation, to engineering, to construction and ultimately operations and maintenance.</w:t>
      </w:r>
      <w:r w:rsidRPr="00FF00E0">
        <w:rPr>
          <w:i/>
        </w:rPr>
        <w:t xml:space="preserve">  </w:t>
      </w:r>
    </w:p>
    <w:p w:rsidR="00AC2080" w:rsidRPr="00FF00E0" w:rsidRDefault="00AC2080" w:rsidP="00AC2080"/>
    <w:p w:rsidR="007B1C7B" w:rsidRPr="00FF00E0" w:rsidRDefault="007B1C7B" w:rsidP="00967A45">
      <w:pPr>
        <w:pStyle w:val="H4"/>
        <w:keepNext w:val="0"/>
        <w:numPr>
          <w:ilvl w:val="0"/>
          <w:numId w:val="5"/>
        </w:numPr>
        <w:tabs>
          <w:tab w:val="left" w:pos="360"/>
          <w:tab w:val="left" w:pos="540"/>
          <w:tab w:val="left" w:pos="720"/>
          <w:tab w:val="left" w:pos="1080"/>
          <w:tab w:val="left" w:pos="1440"/>
          <w:tab w:val="left" w:pos="1800"/>
          <w:tab w:val="left" w:pos="2160"/>
        </w:tabs>
        <w:spacing w:before="0" w:after="0"/>
        <w:jc w:val="both"/>
        <w:outlineLvl w:val="9"/>
        <w:rPr>
          <w:b w:val="0"/>
          <w:bCs/>
        </w:rPr>
      </w:pPr>
      <w:r w:rsidRPr="00FF00E0">
        <w:rPr>
          <w:b w:val="0"/>
          <w:bCs/>
        </w:rPr>
        <w:t>Does this accomplishment contribute to the success of your strategi</w:t>
      </w:r>
      <w:r w:rsidR="00AC2080" w:rsidRPr="00FF00E0">
        <w:rPr>
          <w:b w:val="0"/>
          <w:bCs/>
        </w:rPr>
        <w:t xml:space="preserve">c plan?  </w:t>
      </w:r>
    </w:p>
    <w:p w:rsidR="00AC2080" w:rsidRPr="00FF00E0" w:rsidRDefault="00AC2080" w:rsidP="00AC2080"/>
    <w:p w:rsidR="00AC2080" w:rsidRPr="00FF00E0" w:rsidRDefault="00AC2080" w:rsidP="005807CD">
      <w:pPr>
        <w:jc w:val="both"/>
      </w:pPr>
      <w:r w:rsidRPr="00FF00E0">
        <w:t xml:space="preserve">The Department’s strategic plan is used to understand and address the current and future transportation needs of the state. </w:t>
      </w:r>
      <w:r w:rsidR="002D2CFE" w:rsidRPr="00FF00E0">
        <w:t xml:space="preserve"> </w:t>
      </w:r>
      <w:r w:rsidRPr="00FF00E0">
        <w:t>The Department’s strategic plan serves as a unique approach to identifying future system needs and provides a method to incorporate them into future transportation decisions and solutions.</w:t>
      </w:r>
    </w:p>
    <w:p w:rsidR="00AC2080" w:rsidRPr="00FF00E0" w:rsidRDefault="00AC2080" w:rsidP="00AC2080"/>
    <w:p w:rsidR="007B1C7B" w:rsidRPr="00FF00E0" w:rsidRDefault="007B1C7B" w:rsidP="00967A45">
      <w:pPr>
        <w:pStyle w:val="H4"/>
        <w:keepNext w:val="0"/>
        <w:numPr>
          <w:ilvl w:val="0"/>
          <w:numId w:val="5"/>
        </w:numPr>
        <w:tabs>
          <w:tab w:val="left" w:pos="360"/>
          <w:tab w:val="left" w:pos="540"/>
          <w:tab w:val="left" w:pos="720"/>
          <w:tab w:val="left" w:pos="1080"/>
          <w:tab w:val="left" w:pos="1440"/>
          <w:tab w:val="left" w:pos="1800"/>
          <w:tab w:val="left" w:pos="2160"/>
        </w:tabs>
        <w:spacing w:before="0" w:after="0"/>
        <w:jc w:val="both"/>
        <w:outlineLvl w:val="9"/>
        <w:rPr>
          <w:b w:val="0"/>
          <w:bCs/>
        </w:rPr>
      </w:pPr>
      <w:r w:rsidRPr="00FF00E0">
        <w:rPr>
          <w:b w:val="0"/>
          <w:bCs/>
        </w:rPr>
        <w:t>Does this accomplishment or its methodology represent a Best Management Practice that should be shared with other executive branch departments or agencies?</w:t>
      </w:r>
    </w:p>
    <w:p w:rsidR="00AC2080" w:rsidRPr="00FF00E0" w:rsidRDefault="00AC2080" w:rsidP="00524C1C">
      <w:pPr>
        <w:jc w:val="both"/>
      </w:pPr>
    </w:p>
    <w:p w:rsidR="003520ED" w:rsidRPr="00FF00E0" w:rsidRDefault="003520ED" w:rsidP="005807CD">
      <w:pPr>
        <w:autoSpaceDE w:val="0"/>
        <w:autoSpaceDN w:val="0"/>
        <w:adjustRightInd w:val="0"/>
        <w:jc w:val="both"/>
      </w:pPr>
      <w:r w:rsidRPr="00FF00E0">
        <w:t xml:space="preserve">DOTD’s Project Delivery Steering Committee (PDSC) reviews, establishes, approves, and/or recommends approval of policies, program direction, budget, finance, and measurement that supports project delivery. </w:t>
      </w:r>
      <w:r w:rsidR="002D2CFE" w:rsidRPr="00FF00E0">
        <w:t xml:space="preserve"> </w:t>
      </w:r>
      <w:r w:rsidRPr="00FF00E0">
        <w:t xml:space="preserve">The Project Finance Subcommittee (PFC) is created within the PDSC. The PFC provides summarized financial departmental and program reports, and provides guidance and direction for the capital outlay program. The subcommittee is the focal point for managing funds and projects associated with the highway capital program. </w:t>
      </w:r>
    </w:p>
    <w:p w:rsidR="003520ED" w:rsidRPr="00FF00E0" w:rsidRDefault="003520ED" w:rsidP="00472B67">
      <w:pPr>
        <w:autoSpaceDE w:val="0"/>
        <w:autoSpaceDN w:val="0"/>
        <w:adjustRightInd w:val="0"/>
        <w:ind w:left="907"/>
      </w:pPr>
    </w:p>
    <w:p w:rsidR="003520ED" w:rsidRPr="00FF00E0" w:rsidRDefault="003520ED" w:rsidP="005807CD">
      <w:pPr>
        <w:autoSpaceDE w:val="0"/>
        <w:autoSpaceDN w:val="0"/>
        <w:adjustRightInd w:val="0"/>
      </w:pPr>
      <w:r w:rsidRPr="00FF00E0">
        <w:rPr>
          <w:bCs/>
        </w:rPr>
        <w:t>R.S. 48:229.1 states that each year “the department shall provide the legislature and public with this [Highway Priority] program which shall list projects to be constructed in the ensuing fiscal year in an order of priority …</w:t>
      </w:r>
      <w:r w:rsidR="005D4164" w:rsidRPr="00FF00E0">
        <w:rPr>
          <w:bCs/>
        </w:rPr>
        <w:t>” In</w:t>
      </w:r>
      <w:r w:rsidRPr="00FF00E0">
        <w:rPr>
          <w:bCs/>
        </w:rPr>
        <w:t xml:space="preserve"> addition, pursuant to R.S. 48:230, the Department provides the Legislature “an additional list of projects proposed to be commenced within the ensuing four </w:t>
      </w:r>
      <w:r w:rsidRPr="00FF00E0">
        <w:rPr>
          <w:bCs/>
        </w:rPr>
        <w:lastRenderedPageBreak/>
        <w:t>years which are in various stages of planning and preparation.”</w:t>
      </w:r>
      <w:r w:rsidR="002D2CFE" w:rsidRPr="00FF00E0">
        <w:rPr>
          <w:bCs/>
        </w:rPr>
        <w:t xml:space="preserve"> </w:t>
      </w:r>
      <w:r w:rsidRPr="00FF00E0">
        <w:rPr>
          <w:bCs/>
        </w:rPr>
        <w:t xml:space="preserve"> In compliance with these statutes, the Highway Priority Program identifies the projects that are scheduled for construction letting in the ensuing fiscal year. </w:t>
      </w:r>
      <w:r w:rsidR="002D2CFE" w:rsidRPr="00FF00E0">
        <w:rPr>
          <w:bCs/>
        </w:rPr>
        <w:t xml:space="preserve"> </w:t>
      </w:r>
      <w:r w:rsidRPr="00FF00E0">
        <w:rPr>
          <w:bCs/>
        </w:rPr>
        <w:t xml:space="preserve">These are denoted as being in Stage 4. Projects being developed in the other stages are also included in the document. </w:t>
      </w:r>
      <w:r w:rsidR="00F6046D" w:rsidRPr="00FF00E0">
        <w:rPr>
          <w:bCs/>
        </w:rPr>
        <w:t xml:space="preserve"> Other priority programs governing ports, airports, and flood control are also specified in state statutes.  </w:t>
      </w:r>
    </w:p>
    <w:p w:rsidR="0070691D" w:rsidRPr="00FF00E0" w:rsidRDefault="0070691D" w:rsidP="003520ED">
      <w:pPr>
        <w:pStyle w:val="BodyTextIndent3"/>
        <w:tabs>
          <w:tab w:val="left" w:pos="540"/>
          <w:tab w:val="left" w:pos="720"/>
          <w:tab w:val="left" w:pos="1080"/>
          <w:tab w:val="left" w:pos="1440"/>
        </w:tabs>
        <w:ind w:left="540" w:hanging="540"/>
        <w:jc w:val="both"/>
        <w:rPr>
          <w:b/>
          <w:bCs/>
          <w:sz w:val="28"/>
        </w:rPr>
      </w:pPr>
    </w:p>
    <w:p w:rsidR="003520ED" w:rsidRPr="00FF00E0" w:rsidRDefault="003520ED" w:rsidP="003520ED">
      <w:pPr>
        <w:pStyle w:val="BodyTextIndent3"/>
        <w:tabs>
          <w:tab w:val="left" w:pos="540"/>
          <w:tab w:val="left" w:pos="720"/>
          <w:tab w:val="left" w:pos="1080"/>
          <w:tab w:val="left" w:pos="1440"/>
        </w:tabs>
        <w:ind w:left="540" w:hanging="540"/>
        <w:jc w:val="both"/>
        <w:rPr>
          <w:b/>
          <w:bCs/>
          <w:sz w:val="28"/>
        </w:rPr>
      </w:pPr>
      <w:r w:rsidRPr="00FF00E0">
        <w:rPr>
          <w:b/>
          <w:bCs/>
          <w:sz w:val="28"/>
        </w:rPr>
        <w:t>II.</w:t>
      </w:r>
      <w:r w:rsidRPr="00FF00E0">
        <w:rPr>
          <w:b/>
          <w:bCs/>
          <w:sz w:val="28"/>
        </w:rPr>
        <w:tab/>
      </w:r>
      <w:r w:rsidRPr="00FF00E0">
        <w:rPr>
          <w:b/>
          <w:bCs/>
          <w:sz w:val="28"/>
        </w:rPr>
        <w:tab/>
        <w:t xml:space="preserve">Is your department five-year strategic plan on time and on target for accomplishment?  </w:t>
      </w:r>
    </w:p>
    <w:p w:rsidR="003520ED" w:rsidRPr="00FF00E0" w:rsidRDefault="003520ED" w:rsidP="003520ED">
      <w:pPr>
        <w:pStyle w:val="BodyTextIndent3"/>
        <w:tabs>
          <w:tab w:val="clear" w:pos="360"/>
          <w:tab w:val="left" w:pos="1080"/>
          <w:tab w:val="left" w:pos="1440"/>
        </w:tabs>
        <w:jc w:val="both"/>
        <w:rPr>
          <w:b/>
          <w:bCs/>
          <w:sz w:val="28"/>
        </w:rPr>
      </w:pPr>
    </w:p>
    <w:p w:rsidR="003520ED" w:rsidRPr="00FF00E0" w:rsidRDefault="003520ED" w:rsidP="00967A45">
      <w:pPr>
        <w:pStyle w:val="BodyTextIndent3"/>
        <w:numPr>
          <w:ilvl w:val="0"/>
          <w:numId w:val="6"/>
        </w:numPr>
        <w:tabs>
          <w:tab w:val="clear" w:pos="360"/>
          <w:tab w:val="clear" w:pos="720"/>
          <w:tab w:val="left" w:pos="540"/>
          <w:tab w:val="num" w:pos="900"/>
          <w:tab w:val="left" w:pos="1080"/>
          <w:tab w:val="left" w:pos="1440"/>
        </w:tabs>
        <w:ind w:left="540" w:firstLine="0"/>
        <w:jc w:val="both"/>
        <w:rPr>
          <w:bCs/>
          <w:sz w:val="28"/>
        </w:rPr>
      </w:pPr>
      <w:r w:rsidRPr="00FF00E0">
        <w:rPr>
          <w:bCs/>
        </w:rPr>
        <w:t xml:space="preserve">Please provide a brief analysis of the overall status of your strategic progress.  </w:t>
      </w:r>
      <w:r w:rsidRPr="00FF00E0">
        <w:rPr>
          <w:b/>
        </w:rPr>
        <w:t>See below.</w:t>
      </w:r>
    </w:p>
    <w:p w:rsidR="003520ED" w:rsidRPr="00FF00E0" w:rsidRDefault="003520ED" w:rsidP="00524C1C">
      <w:pPr>
        <w:pStyle w:val="BodyTextIndent3"/>
        <w:tabs>
          <w:tab w:val="clear" w:pos="360"/>
          <w:tab w:val="left" w:pos="540"/>
          <w:tab w:val="left" w:pos="1080"/>
          <w:tab w:val="left" w:pos="1440"/>
        </w:tabs>
        <w:ind w:left="540" w:firstLine="0"/>
        <w:jc w:val="both"/>
        <w:rPr>
          <w:bCs/>
          <w:sz w:val="28"/>
        </w:rPr>
      </w:pPr>
    </w:p>
    <w:p w:rsidR="003520ED" w:rsidRPr="00FF00E0" w:rsidRDefault="003520ED" w:rsidP="00967A45">
      <w:pPr>
        <w:pStyle w:val="BodyTextIndent3"/>
        <w:numPr>
          <w:ilvl w:val="0"/>
          <w:numId w:val="6"/>
        </w:numPr>
        <w:tabs>
          <w:tab w:val="clear" w:pos="360"/>
          <w:tab w:val="left" w:pos="540"/>
          <w:tab w:val="left" w:pos="1080"/>
          <w:tab w:val="left" w:pos="1440"/>
        </w:tabs>
        <w:ind w:hanging="180"/>
        <w:jc w:val="both"/>
      </w:pPr>
      <w:r w:rsidRPr="00FF00E0">
        <w:rPr>
          <w:bCs/>
        </w:rPr>
        <w:t xml:space="preserve">   Where are you making significant progress? </w:t>
      </w:r>
      <w:r w:rsidRPr="00FF00E0">
        <w:rPr>
          <w:b/>
        </w:rPr>
        <w:t>See below.</w:t>
      </w:r>
    </w:p>
    <w:p w:rsidR="003520ED" w:rsidRPr="00FF00E0" w:rsidRDefault="003520ED" w:rsidP="00524C1C">
      <w:pPr>
        <w:pStyle w:val="BodyTextIndent3"/>
        <w:tabs>
          <w:tab w:val="clear" w:pos="360"/>
          <w:tab w:val="left" w:pos="1080"/>
          <w:tab w:val="left" w:pos="1440"/>
        </w:tabs>
        <w:ind w:left="1080" w:firstLine="0"/>
        <w:jc w:val="both"/>
      </w:pPr>
    </w:p>
    <w:p w:rsidR="003520ED" w:rsidRPr="00FF00E0" w:rsidRDefault="003520ED" w:rsidP="00967A45">
      <w:pPr>
        <w:numPr>
          <w:ilvl w:val="0"/>
          <w:numId w:val="3"/>
        </w:numPr>
        <w:tabs>
          <w:tab w:val="clear" w:pos="360"/>
          <w:tab w:val="left" w:pos="540"/>
          <w:tab w:val="left" w:pos="900"/>
        </w:tabs>
        <w:ind w:left="900"/>
        <w:jc w:val="both"/>
        <w:rPr>
          <w:b/>
        </w:rPr>
      </w:pPr>
      <w:r w:rsidRPr="00FF00E0">
        <w:rPr>
          <w:bCs/>
        </w:rPr>
        <w:t xml:space="preserve">Where are you experiencing a significant lack of progress?  </w:t>
      </w:r>
      <w:r w:rsidRPr="00FF00E0">
        <w:rPr>
          <w:b/>
        </w:rPr>
        <w:t>See below.</w:t>
      </w:r>
    </w:p>
    <w:p w:rsidR="003520ED" w:rsidRPr="00FF00E0" w:rsidRDefault="003520ED" w:rsidP="00524C1C">
      <w:pPr>
        <w:tabs>
          <w:tab w:val="left" w:pos="360"/>
          <w:tab w:val="left" w:pos="720"/>
          <w:tab w:val="left" w:pos="1080"/>
          <w:tab w:val="left" w:pos="1440"/>
          <w:tab w:val="left" w:pos="1800"/>
          <w:tab w:val="left" w:pos="2160"/>
        </w:tabs>
        <w:jc w:val="both"/>
      </w:pPr>
    </w:p>
    <w:p w:rsidR="003520ED" w:rsidRPr="00FF00E0" w:rsidRDefault="003520ED" w:rsidP="00967A45">
      <w:pPr>
        <w:pStyle w:val="EndnoteText"/>
        <w:numPr>
          <w:ilvl w:val="0"/>
          <w:numId w:val="3"/>
        </w:numPr>
        <w:tabs>
          <w:tab w:val="clear" w:pos="360"/>
          <w:tab w:val="left" w:pos="540"/>
          <w:tab w:val="num" w:pos="900"/>
          <w:tab w:val="left" w:pos="1080"/>
          <w:tab w:val="left" w:pos="1440"/>
          <w:tab w:val="left" w:pos="1800"/>
          <w:tab w:val="left" w:pos="2160"/>
        </w:tabs>
        <w:ind w:left="900"/>
        <w:jc w:val="both"/>
      </w:pPr>
      <w:r w:rsidRPr="00FF00E0">
        <w:rPr>
          <w:bCs/>
        </w:rPr>
        <w:t xml:space="preserve">Has your department revised its strategic plan to build on your successes and address shortfalls?  </w:t>
      </w:r>
    </w:p>
    <w:p w:rsidR="003520ED" w:rsidRPr="00FF00E0" w:rsidRDefault="003520ED" w:rsidP="00524C1C">
      <w:pPr>
        <w:pStyle w:val="EndnoteText"/>
        <w:tabs>
          <w:tab w:val="left" w:pos="360"/>
          <w:tab w:val="left" w:pos="1080"/>
          <w:tab w:val="left" w:pos="1440"/>
          <w:tab w:val="left" w:pos="1800"/>
          <w:tab w:val="left" w:pos="2160"/>
        </w:tabs>
        <w:ind w:left="360"/>
        <w:jc w:val="both"/>
      </w:pPr>
    </w:p>
    <w:p w:rsidR="003520ED" w:rsidRPr="00FF00E0" w:rsidRDefault="003520ED" w:rsidP="00524C1C">
      <w:pPr>
        <w:pStyle w:val="EndnoteText"/>
        <w:tabs>
          <w:tab w:val="left" w:pos="360"/>
          <w:tab w:val="left" w:pos="720"/>
          <w:tab w:val="left" w:pos="1080"/>
          <w:tab w:val="left" w:pos="1440"/>
          <w:tab w:val="left" w:pos="1800"/>
          <w:tab w:val="left" w:pos="2160"/>
        </w:tabs>
        <w:ind w:left="2160" w:hanging="1080"/>
        <w:jc w:val="both"/>
      </w:pPr>
      <w:r w:rsidRPr="00FF00E0">
        <w:fldChar w:fldCharType="begin">
          <w:ffData>
            <w:name w:val="Check6"/>
            <w:enabled/>
            <w:calcOnExit w:val="0"/>
            <w:checkBox>
              <w:sizeAuto/>
              <w:default w:val="1"/>
            </w:checkBox>
          </w:ffData>
        </w:fldChar>
      </w:r>
      <w:r w:rsidRPr="00FF00E0">
        <w:instrText xml:space="preserve"> FORMCHECKBOX </w:instrText>
      </w:r>
      <w:r w:rsidR="00B96DB3">
        <w:fldChar w:fldCharType="separate"/>
      </w:r>
      <w:r w:rsidRPr="00FF00E0">
        <w:fldChar w:fldCharType="end"/>
      </w:r>
      <w:r w:rsidRPr="00FF00E0">
        <w:tab/>
        <w:t xml:space="preserve">Yes.  </w:t>
      </w:r>
      <w:r w:rsidRPr="00FF00E0">
        <w:tab/>
        <w:t xml:space="preserve">If so, what adjustments have been made and how will they address the situation? </w:t>
      </w:r>
      <w:r w:rsidRPr="00FF00E0">
        <w:rPr>
          <w:b/>
        </w:rPr>
        <w:t>See below.</w:t>
      </w:r>
    </w:p>
    <w:p w:rsidR="003520ED" w:rsidRPr="00FF00E0" w:rsidRDefault="003520ED" w:rsidP="00524C1C">
      <w:pPr>
        <w:pStyle w:val="EndnoteText"/>
        <w:tabs>
          <w:tab w:val="left" w:pos="360"/>
          <w:tab w:val="left" w:pos="1080"/>
          <w:tab w:val="left" w:pos="1440"/>
          <w:tab w:val="left" w:pos="1800"/>
          <w:tab w:val="left" w:pos="2160"/>
        </w:tabs>
        <w:ind w:left="1080"/>
        <w:jc w:val="both"/>
      </w:pPr>
      <w:r w:rsidRPr="00FF00E0">
        <w:fldChar w:fldCharType="begin">
          <w:ffData>
            <w:name w:val="Check5"/>
            <w:enabled/>
            <w:calcOnExit w:val="0"/>
            <w:checkBox>
              <w:sizeAuto/>
              <w:default w:val="0"/>
            </w:checkBox>
          </w:ffData>
        </w:fldChar>
      </w:r>
      <w:r w:rsidRPr="00FF00E0">
        <w:instrText xml:space="preserve"> FORMCHECKBOX </w:instrText>
      </w:r>
      <w:r w:rsidR="00B96DB3">
        <w:fldChar w:fldCharType="separate"/>
      </w:r>
      <w:r w:rsidRPr="00FF00E0">
        <w:fldChar w:fldCharType="end"/>
      </w:r>
      <w:r w:rsidRPr="00FF00E0">
        <w:tab/>
        <w:t>No.</w:t>
      </w:r>
      <w:r w:rsidRPr="00FF00E0">
        <w:tab/>
      </w:r>
      <w:r w:rsidRPr="00FF00E0">
        <w:tab/>
        <w:t>If not, why not?</w:t>
      </w:r>
    </w:p>
    <w:p w:rsidR="003520ED" w:rsidRPr="00FF00E0" w:rsidRDefault="003520ED" w:rsidP="00524C1C">
      <w:pPr>
        <w:pStyle w:val="EndnoteText"/>
        <w:tabs>
          <w:tab w:val="left" w:pos="360"/>
          <w:tab w:val="left" w:pos="1080"/>
          <w:tab w:val="left" w:pos="1440"/>
          <w:tab w:val="left" w:pos="1800"/>
          <w:tab w:val="left" w:pos="2160"/>
        </w:tabs>
        <w:ind w:left="1080"/>
        <w:jc w:val="both"/>
        <w:rPr>
          <w:bCs/>
        </w:rPr>
      </w:pPr>
    </w:p>
    <w:p w:rsidR="003520ED" w:rsidRPr="00FF00E0" w:rsidRDefault="003520ED" w:rsidP="00967A45">
      <w:pPr>
        <w:pStyle w:val="EndnoteText"/>
        <w:numPr>
          <w:ilvl w:val="0"/>
          <w:numId w:val="7"/>
        </w:numPr>
        <w:tabs>
          <w:tab w:val="clear" w:pos="720"/>
          <w:tab w:val="left" w:pos="360"/>
          <w:tab w:val="left" w:pos="540"/>
          <w:tab w:val="left" w:pos="900"/>
          <w:tab w:val="left" w:pos="1080"/>
          <w:tab w:val="left" w:pos="1440"/>
          <w:tab w:val="left" w:pos="1800"/>
        </w:tabs>
        <w:ind w:left="900"/>
        <w:jc w:val="both"/>
        <w:rPr>
          <w:bCs/>
        </w:rPr>
      </w:pPr>
      <w:r w:rsidRPr="00FF00E0">
        <w:rPr>
          <w:bCs/>
        </w:rPr>
        <w:t xml:space="preserve">How does your department ensure that your strategic plan is coordinated throughout the organizational and management levels of the department, regularly reviewed and updated, and utilized for management decision-making and resource allocation?  </w:t>
      </w:r>
      <w:r w:rsidRPr="00FF00E0">
        <w:rPr>
          <w:b/>
        </w:rPr>
        <w:t>See below.</w:t>
      </w:r>
    </w:p>
    <w:p w:rsidR="003520ED" w:rsidRPr="00FF00E0" w:rsidRDefault="003520ED" w:rsidP="00524C1C">
      <w:pPr>
        <w:pStyle w:val="EndnoteText"/>
        <w:tabs>
          <w:tab w:val="left" w:pos="360"/>
          <w:tab w:val="left" w:pos="540"/>
          <w:tab w:val="left" w:pos="900"/>
          <w:tab w:val="left" w:pos="1440"/>
          <w:tab w:val="left" w:pos="1800"/>
        </w:tabs>
        <w:ind w:left="900"/>
        <w:jc w:val="both"/>
        <w:rPr>
          <w:bCs/>
        </w:rPr>
      </w:pPr>
    </w:p>
    <w:p w:rsidR="003520ED" w:rsidRPr="00FF00E0" w:rsidRDefault="003520ED" w:rsidP="00524C1C">
      <w:pPr>
        <w:pStyle w:val="EndnoteText"/>
        <w:tabs>
          <w:tab w:val="left" w:pos="360"/>
          <w:tab w:val="left" w:pos="540"/>
          <w:tab w:val="left" w:pos="1080"/>
          <w:tab w:val="left" w:pos="1440"/>
          <w:tab w:val="left" w:pos="1800"/>
        </w:tabs>
        <w:jc w:val="both"/>
        <w:rPr>
          <w:bCs/>
        </w:rPr>
      </w:pPr>
      <w:r w:rsidRPr="00FF00E0">
        <w:rPr>
          <w:snapToGrid/>
          <w:color w:val="000000"/>
          <w:szCs w:val="24"/>
        </w:rPr>
        <w:t xml:space="preserve">DOTD continually works toward producing effective Strategic Planning tactics through education and coaching for a more strategically driven and </w:t>
      </w:r>
      <w:r w:rsidR="00896CEF" w:rsidRPr="00FF00E0">
        <w:rPr>
          <w:snapToGrid/>
          <w:color w:val="000000"/>
          <w:szCs w:val="24"/>
        </w:rPr>
        <w:t>performance-managed</w:t>
      </w:r>
      <w:r w:rsidRPr="00FF00E0">
        <w:rPr>
          <w:snapToGrid/>
          <w:color w:val="000000"/>
          <w:szCs w:val="24"/>
        </w:rPr>
        <w:t xml:space="preserve"> operation. </w:t>
      </w:r>
      <w:r w:rsidR="002D2CFE" w:rsidRPr="00FF00E0">
        <w:rPr>
          <w:snapToGrid/>
          <w:color w:val="000000"/>
          <w:szCs w:val="24"/>
        </w:rPr>
        <w:t xml:space="preserve"> </w:t>
      </w:r>
      <w:r w:rsidRPr="00FF00E0">
        <w:rPr>
          <w:snapToGrid/>
          <w:color w:val="000000"/>
          <w:szCs w:val="24"/>
        </w:rPr>
        <w:t xml:space="preserve">The Goals and Objectives were validated and revised by holding sessions with all Program Heads and Executive Staff. </w:t>
      </w:r>
    </w:p>
    <w:p w:rsidR="003520ED" w:rsidRPr="00FF00E0" w:rsidRDefault="003520ED" w:rsidP="00524C1C">
      <w:pPr>
        <w:widowControl/>
        <w:autoSpaceDE w:val="0"/>
        <w:autoSpaceDN w:val="0"/>
        <w:adjustRightInd w:val="0"/>
        <w:spacing w:before="240" w:line="259" w:lineRule="auto"/>
        <w:contextualSpacing/>
        <w:jc w:val="both"/>
        <w:rPr>
          <w:snapToGrid/>
          <w:color w:val="000000"/>
          <w:szCs w:val="24"/>
        </w:rPr>
      </w:pPr>
      <w:r w:rsidRPr="00FF00E0">
        <w:rPr>
          <w:snapToGrid/>
          <w:color w:val="000000"/>
          <w:szCs w:val="24"/>
        </w:rPr>
        <w:t>DOTD tracks internal objectives through a scorecard system refined to its current</w:t>
      </w:r>
      <w:r w:rsidR="00AC3D3A">
        <w:rPr>
          <w:snapToGrid/>
          <w:color w:val="000000"/>
          <w:szCs w:val="24"/>
        </w:rPr>
        <w:t xml:space="preserve"> state</w:t>
      </w:r>
      <w:r w:rsidRPr="00FF00E0">
        <w:rPr>
          <w:snapToGrid/>
          <w:color w:val="000000"/>
          <w:szCs w:val="24"/>
        </w:rPr>
        <w:t xml:space="preserve">. </w:t>
      </w:r>
      <w:r w:rsidR="002D2CFE" w:rsidRPr="00FF00E0">
        <w:rPr>
          <w:snapToGrid/>
          <w:color w:val="000000"/>
          <w:szCs w:val="24"/>
        </w:rPr>
        <w:t xml:space="preserve"> </w:t>
      </w:r>
      <w:r w:rsidRPr="00FF00E0">
        <w:rPr>
          <w:snapToGrid/>
          <w:color w:val="000000"/>
          <w:szCs w:val="24"/>
        </w:rPr>
        <w:t xml:space="preserve">A process </w:t>
      </w:r>
      <w:r w:rsidR="00CA64DC" w:rsidRPr="00FF00E0">
        <w:rPr>
          <w:snapToGrid/>
          <w:color w:val="000000"/>
          <w:szCs w:val="24"/>
        </w:rPr>
        <w:t>has been created</w:t>
      </w:r>
      <w:r w:rsidRPr="00FF00E0">
        <w:rPr>
          <w:snapToGrid/>
          <w:color w:val="000000"/>
          <w:szCs w:val="24"/>
        </w:rPr>
        <w:t xml:space="preserve"> for DOTD’s designated users to create a scorecard and update monthly performance measurements for a given scorecard at both the section and division level. </w:t>
      </w:r>
      <w:r w:rsidR="002D2CFE" w:rsidRPr="00FF00E0">
        <w:rPr>
          <w:snapToGrid/>
          <w:color w:val="000000"/>
          <w:szCs w:val="24"/>
        </w:rPr>
        <w:t xml:space="preserve"> </w:t>
      </w:r>
      <w:r w:rsidRPr="00FF00E0">
        <w:rPr>
          <w:snapToGrid/>
          <w:color w:val="000000"/>
          <w:szCs w:val="24"/>
        </w:rPr>
        <w:t xml:space="preserve">In addition, the portal provides a number of views and reports to support internal reporting needs. </w:t>
      </w:r>
    </w:p>
    <w:p w:rsidR="003520ED" w:rsidRPr="00FF00E0" w:rsidRDefault="003520ED" w:rsidP="003520ED">
      <w:pPr>
        <w:spacing w:before="100" w:beforeAutospacing="1" w:after="100" w:afterAutospacing="1"/>
        <w:textAlignment w:val="top"/>
        <w:rPr>
          <w:b/>
          <w:bCs/>
          <w:szCs w:val="24"/>
        </w:rPr>
      </w:pPr>
      <w:r w:rsidRPr="00FF00E0">
        <w:rPr>
          <w:b/>
          <w:bCs/>
          <w:szCs w:val="24"/>
        </w:rPr>
        <w:t xml:space="preserve">Strategic Planning </w:t>
      </w:r>
    </w:p>
    <w:p w:rsidR="003520ED" w:rsidRPr="00FF00E0" w:rsidRDefault="003520ED" w:rsidP="003520ED">
      <w:pPr>
        <w:rPr>
          <w:bCs/>
          <w:szCs w:val="24"/>
        </w:rPr>
      </w:pPr>
      <w:r w:rsidRPr="00FF00E0">
        <w:rPr>
          <w:bCs/>
          <w:szCs w:val="24"/>
        </w:rPr>
        <w:t>DOTD’s Vision, Mission, Values, and Goals are:</w:t>
      </w:r>
    </w:p>
    <w:p w:rsidR="003520ED" w:rsidRPr="00FF00E0" w:rsidRDefault="003520ED" w:rsidP="003520ED">
      <w:pPr>
        <w:rPr>
          <w:bCs/>
          <w:szCs w:val="24"/>
        </w:rPr>
      </w:pPr>
    </w:p>
    <w:p w:rsidR="003520ED" w:rsidRPr="00FF00E0" w:rsidRDefault="003520ED" w:rsidP="009149BE">
      <w:pPr>
        <w:jc w:val="both"/>
        <w:rPr>
          <w:bCs/>
          <w:szCs w:val="24"/>
          <w:u w:val="single"/>
        </w:rPr>
      </w:pPr>
      <w:r w:rsidRPr="00FF00E0">
        <w:rPr>
          <w:bCs/>
          <w:szCs w:val="24"/>
          <w:u w:val="single"/>
        </w:rPr>
        <w:t>Vision</w:t>
      </w:r>
    </w:p>
    <w:p w:rsidR="003520ED" w:rsidRPr="00FF00E0" w:rsidRDefault="00CA503D" w:rsidP="009149BE">
      <w:pPr>
        <w:jc w:val="both"/>
      </w:pPr>
      <w:r w:rsidRPr="00FF00E0">
        <w:t>Deliver a safe and reliable infrastructure system that enhances mobility, economic opportunity, and public confidence.</w:t>
      </w:r>
    </w:p>
    <w:p w:rsidR="003520ED" w:rsidRPr="00FF00E0" w:rsidRDefault="003520ED" w:rsidP="009149BE">
      <w:pPr>
        <w:jc w:val="both"/>
        <w:rPr>
          <w:bCs/>
          <w:szCs w:val="24"/>
          <w:u w:val="single"/>
        </w:rPr>
      </w:pPr>
      <w:r w:rsidRPr="00FF00E0">
        <w:rPr>
          <w:bCs/>
          <w:szCs w:val="24"/>
          <w:u w:val="single"/>
        </w:rPr>
        <w:t>Mission</w:t>
      </w:r>
    </w:p>
    <w:p w:rsidR="003520ED" w:rsidRPr="00FF00E0" w:rsidRDefault="00CA503D" w:rsidP="009149BE">
      <w:pPr>
        <w:jc w:val="both"/>
        <w:rPr>
          <w:bCs/>
          <w:szCs w:val="24"/>
        </w:rPr>
      </w:pPr>
      <w:r w:rsidRPr="00FF00E0">
        <w:lastRenderedPageBreak/>
        <w:t>Innovatively develop and sustain safe and reliable infrastructure comprising highways, multimodal transportation assets, micro-mobility systems, and public works.</w:t>
      </w:r>
    </w:p>
    <w:p w:rsidR="003520ED" w:rsidRPr="00FF00E0" w:rsidRDefault="003520ED" w:rsidP="009149BE">
      <w:pPr>
        <w:jc w:val="both"/>
        <w:rPr>
          <w:bCs/>
          <w:szCs w:val="24"/>
          <w:u w:val="single"/>
        </w:rPr>
      </w:pPr>
      <w:r w:rsidRPr="00FF00E0">
        <w:rPr>
          <w:bCs/>
          <w:szCs w:val="24"/>
          <w:u w:val="single"/>
        </w:rPr>
        <w:t>Values</w:t>
      </w:r>
    </w:p>
    <w:p w:rsidR="003520ED" w:rsidRDefault="00CA503D" w:rsidP="009149BE">
      <w:pPr>
        <w:jc w:val="both"/>
        <w:rPr>
          <w:bCs/>
          <w:szCs w:val="24"/>
        </w:rPr>
      </w:pPr>
      <w:r w:rsidRPr="00FF00E0">
        <w:rPr>
          <w:bCs/>
          <w:szCs w:val="24"/>
        </w:rPr>
        <w:t>Dedication to Public Service</w:t>
      </w:r>
      <w:r w:rsidR="009149BE">
        <w:rPr>
          <w:bCs/>
          <w:szCs w:val="24"/>
        </w:rPr>
        <w:t xml:space="preserve"> </w:t>
      </w:r>
    </w:p>
    <w:p w:rsidR="009149BE" w:rsidRPr="009149BE" w:rsidRDefault="009149BE" w:rsidP="009149BE">
      <w:pPr>
        <w:jc w:val="both"/>
        <w:rPr>
          <w:bCs/>
          <w:i/>
          <w:szCs w:val="24"/>
        </w:rPr>
      </w:pPr>
      <w:r w:rsidRPr="009149BE">
        <w:rPr>
          <w:bCs/>
          <w:i/>
          <w:szCs w:val="24"/>
        </w:rPr>
        <w:t>Devotion to meeting the needs of the people of Louisiana, in a professional and cooperative manner</w:t>
      </w:r>
    </w:p>
    <w:p w:rsidR="00CA503D" w:rsidRDefault="00CA503D" w:rsidP="009149BE">
      <w:pPr>
        <w:jc w:val="both"/>
        <w:rPr>
          <w:bCs/>
          <w:szCs w:val="24"/>
        </w:rPr>
      </w:pPr>
      <w:r w:rsidRPr="00FF00E0">
        <w:rPr>
          <w:bCs/>
          <w:szCs w:val="24"/>
        </w:rPr>
        <w:t>Inclusion</w:t>
      </w:r>
    </w:p>
    <w:p w:rsidR="009149BE" w:rsidRPr="009149BE" w:rsidRDefault="009149BE" w:rsidP="009149BE">
      <w:pPr>
        <w:jc w:val="both"/>
        <w:rPr>
          <w:bCs/>
          <w:szCs w:val="24"/>
        </w:rPr>
      </w:pPr>
      <w:r w:rsidRPr="009149BE">
        <w:rPr>
          <w:bCs/>
          <w:i/>
          <w:szCs w:val="24"/>
        </w:rPr>
        <w:t>Valuing the perspectives and contributions of people from diverse backgrounds, and striving to incorporate the needs and viewpoints of all communities within the State of Louisiana</w:t>
      </w:r>
    </w:p>
    <w:p w:rsidR="00CA503D" w:rsidRDefault="00CA503D" w:rsidP="009149BE">
      <w:pPr>
        <w:jc w:val="both"/>
        <w:rPr>
          <w:bCs/>
          <w:szCs w:val="24"/>
        </w:rPr>
      </w:pPr>
      <w:r w:rsidRPr="00FF00E0">
        <w:rPr>
          <w:bCs/>
          <w:szCs w:val="24"/>
        </w:rPr>
        <w:t>Integrity</w:t>
      </w:r>
    </w:p>
    <w:p w:rsidR="009149BE" w:rsidRPr="009149BE" w:rsidRDefault="009149BE" w:rsidP="009149BE">
      <w:pPr>
        <w:jc w:val="both"/>
        <w:rPr>
          <w:bCs/>
          <w:i/>
          <w:szCs w:val="24"/>
        </w:rPr>
      </w:pPr>
      <w:r w:rsidRPr="009149BE">
        <w:rPr>
          <w:bCs/>
          <w:i/>
          <w:szCs w:val="24"/>
        </w:rPr>
        <w:t>An ethical character incorporating honesty, straightforwardness, and transparency</w:t>
      </w:r>
    </w:p>
    <w:p w:rsidR="00CA503D" w:rsidRDefault="00CA503D" w:rsidP="009149BE">
      <w:pPr>
        <w:jc w:val="both"/>
        <w:rPr>
          <w:bCs/>
          <w:szCs w:val="24"/>
        </w:rPr>
      </w:pPr>
      <w:r w:rsidRPr="00FF00E0">
        <w:rPr>
          <w:bCs/>
          <w:szCs w:val="24"/>
        </w:rPr>
        <w:t>Value</w:t>
      </w:r>
    </w:p>
    <w:p w:rsidR="009149BE" w:rsidRPr="009149BE" w:rsidRDefault="009149BE" w:rsidP="009149BE">
      <w:pPr>
        <w:jc w:val="both"/>
        <w:rPr>
          <w:bCs/>
          <w:i/>
          <w:szCs w:val="24"/>
        </w:rPr>
      </w:pPr>
      <w:r w:rsidRPr="009149BE">
        <w:rPr>
          <w:bCs/>
          <w:i/>
          <w:szCs w:val="24"/>
        </w:rPr>
        <w:t>The degree of excellence by which an individual, object, or project meets or exceeds requirements</w:t>
      </w:r>
    </w:p>
    <w:p w:rsidR="00CA503D" w:rsidRDefault="00CA503D" w:rsidP="009149BE">
      <w:pPr>
        <w:jc w:val="both"/>
        <w:rPr>
          <w:bCs/>
          <w:szCs w:val="24"/>
        </w:rPr>
      </w:pPr>
      <w:r w:rsidRPr="00FF00E0">
        <w:rPr>
          <w:bCs/>
          <w:szCs w:val="24"/>
        </w:rPr>
        <w:t>Efficiency</w:t>
      </w:r>
    </w:p>
    <w:p w:rsidR="009149BE" w:rsidRPr="009149BE" w:rsidRDefault="009149BE" w:rsidP="009149BE">
      <w:pPr>
        <w:jc w:val="both"/>
        <w:rPr>
          <w:bCs/>
          <w:i/>
          <w:szCs w:val="24"/>
        </w:rPr>
      </w:pPr>
      <w:r w:rsidRPr="009149BE">
        <w:rPr>
          <w:bCs/>
          <w:i/>
          <w:szCs w:val="24"/>
        </w:rPr>
        <w:t>Leveraging all available resources across DOTD in order to maximize successful project outcomes</w:t>
      </w:r>
    </w:p>
    <w:p w:rsidR="00CA503D" w:rsidRDefault="00CA503D" w:rsidP="009149BE">
      <w:pPr>
        <w:jc w:val="both"/>
        <w:rPr>
          <w:bCs/>
          <w:szCs w:val="24"/>
        </w:rPr>
      </w:pPr>
      <w:r w:rsidRPr="00FF00E0">
        <w:rPr>
          <w:bCs/>
          <w:szCs w:val="24"/>
        </w:rPr>
        <w:t>Leadership in Transportation</w:t>
      </w:r>
    </w:p>
    <w:p w:rsidR="009149BE" w:rsidRPr="009149BE" w:rsidRDefault="009149BE" w:rsidP="009149BE">
      <w:pPr>
        <w:jc w:val="both"/>
        <w:rPr>
          <w:bCs/>
          <w:i/>
          <w:szCs w:val="24"/>
        </w:rPr>
      </w:pPr>
      <w:r w:rsidRPr="009149BE">
        <w:rPr>
          <w:bCs/>
          <w:i/>
          <w:szCs w:val="24"/>
        </w:rPr>
        <w:t>Seeking out and developing innovations in the transportation space, in order to meet evolving needs and seize emerging opportunities</w:t>
      </w:r>
    </w:p>
    <w:p w:rsidR="00CA503D" w:rsidRDefault="00CA503D" w:rsidP="009149BE">
      <w:pPr>
        <w:jc w:val="both"/>
        <w:rPr>
          <w:bCs/>
          <w:szCs w:val="24"/>
        </w:rPr>
      </w:pPr>
      <w:r w:rsidRPr="00FF00E0">
        <w:rPr>
          <w:bCs/>
          <w:szCs w:val="24"/>
        </w:rPr>
        <w:t>Accountability</w:t>
      </w:r>
    </w:p>
    <w:p w:rsidR="009149BE" w:rsidRPr="009149BE" w:rsidRDefault="009149BE" w:rsidP="009149BE">
      <w:pPr>
        <w:jc w:val="both"/>
        <w:rPr>
          <w:bCs/>
          <w:i/>
          <w:szCs w:val="24"/>
        </w:rPr>
      </w:pPr>
      <w:r w:rsidRPr="009149BE">
        <w:rPr>
          <w:bCs/>
          <w:i/>
          <w:szCs w:val="24"/>
        </w:rPr>
        <w:t>Being good stewards of public assets and accepting responsibility for all aspects of our work</w:t>
      </w:r>
    </w:p>
    <w:p w:rsidR="00CA503D" w:rsidRPr="00FF00E0" w:rsidRDefault="00CA503D" w:rsidP="003520ED">
      <w:pPr>
        <w:rPr>
          <w:b/>
          <w:bCs/>
          <w:szCs w:val="24"/>
        </w:rPr>
      </w:pPr>
    </w:p>
    <w:p w:rsidR="003520ED" w:rsidRPr="00FF00E0" w:rsidRDefault="003520ED" w:rsidP="003520ED">
      <w:pPr>
        <w:rPr>
          <w:bCs/>
          <w:szCs w:val="24"/>
          <w:u w:val="single"/>
        </w:rPr>
      </w:pPr>
      <w:r w:rsidRPr="00FF00E0">
        <w:rPr>
          <w:bCs/>
          <w:szCs w:val="24"/>
          <w:u w:val="single"/>
        </w:rPr>
        <w:t>Strategic Goals</w:t>
      </w:r>
    </w:p>
    <w:p w:rsidR="003520ED" w:rsidRPr="00FF00E0" w:rsidRDefault="00CA503D" w:rsidP="003520ED">
      <w:pPr>
        <w:rPr>
          <w:bCs/>
          <w:szCs w:val="24"/>
        </w:rPr>
      </w:pPr>
      <w:r w:rsidRPr="00FF00E0">
        <w:rPr>
          <w:bCs/>
          <w:szCs w:val="24"/>
        </w:rPr>
        <w:t>Provide Quality Customer Service</w:t>
      </w:r>
    </w:p>
    <w:p w:rsidR="00CA503D" w:rsidRPr="00FF00E0" w:rsidRDefault="00CA503D" w:rsidP="003520ED">
      <w:pPr>
        <w:rPr>
          <w:bCs/>
          <w:szCs w:val="24"/>
        </w:rPr>
      </w:pPr>
      <w:r w:rsidRPr="00FF00E0">
        <w:rPr>
          <w:bCs/>
          <w:szCs w:val="24"/>
        </w:rPr>
        <w:t>Enhance Public Confidence</w:t>
      </w:r>
    </w:p>
    <w:p w:rsidR="00CA503D" w:rsidRPr="00FF00E0" w:rsidRDefault="00CA503D" w:rsidP="003520ED">
      <w:pPr>
        <w:rPr>
          <w:bCs/>
          <w:szCs w:val="24"/>
        </w:rPr>
      </w:pPr>
      <w:r w:rsidRPr="00FF00E0">
        <w:rPr>
          <w:bCs/>
          <w:szCs w:val="24"/>
        </w:rPr>
        <w:t>Deliver Critical Infrastructure Improvements</w:t>
      </w:r>
    </w:p>
    <w:p w:rsidR="00CA503D" w:rsidRPr="00FF00E0" w:rsidRDefault="00CA503D" w:rsidP="003520ED">
      <w:pPr>
        <w:rPr>
          <w:bCs/>
          <w:szCs w:val="24"/>
        </w:rPr>
      </w:pPr>
      <w:r w:rsidRPr="00FF00E0">
        <w:rPr>
          <w:bCs/>
          <w:szCs w:val="24"/>
        </w:rPr>
        <w:t>Operate a Safe, Efficient, Equitable Infrastructure System</w:t>
      </w:r>
    </w:p>
    <w:p w:rsidR="009A3D6A" w:rsidRPr="00FF00E0" w:rsidRDefault="009A3D6A">
      <w:pPr>
        <w:widowControl/>
        <w:rPr>
          <w:snapToGrid/>
          <w:color w:val="000000"/>
          <w:szCs w:val="24"/>
        </w:rPr>
      </w:pPr>
      <w:r w:rsidRPr="00FF00E0">
        <w:rPr>
          <w:snapToGrid/>
          <w:color w:val="000000"/>
          <w:szCs w:val="24"/>
        </w:rPr>
        <w:br w:type="page"/>
      </w:r>
    </w:p>
    <w:p w:rsidR="00E60359" w:rsidRDefault="00E60359" w:rsidP="003520ED">
      <w:pPr>
        <w:autoSpaceDE w:val="0"/>
        <w:autoSpaceDN w:val="0"/>
        <w:adjustRightInd w:val="0"/>
        <w:spacing w:before="240" w:line="259" w:lineRule="auto"/>
        <w:contextualSpacing/>
        <w:rPr>
          <w:b/>
          <w:snapToGrid/>
          <w:color w:val="000000"/>
          <w:szCs w:val="24"/>
        </w:rPr>
      </w:pPr>
    </w:p>
    <w:p w:rsidR="003520ED" w:rsidRPr="00FF00E0" w:rsidRDefault="003520ED" w:rsidP="003520ED">
      <w:pPr>
        <w:autoSpaceDE w:val="0"/>
        <w:autoSpaceDN w:val="0"/>
        <w:adjustRightInd w:val="0"/>
        <w:spacing w:before="240" w:line="259" w:lineRule="auto"/>
        <w:contextualSpacing/>
        <w:rPr>
          <w:snapToGrid/>
          <w:color w:val="000000"/>
          <w:szCs w:val="24"/>
        </w:rPr>
      </w:pPr>
      <w:r w:rsidRPr="00FF00E0">
        <w:rPr>
          <w:b/>
          <w:snapToGrid/>
          <w:color w:val="000000"/>
          <w:szCs w:val="24"/>
        </w:rPr>
        <w:t>DOTD’s Strategic Objectives,</w:t>
      </w:r>
      <w:r w:rsidR="0067390B" w:rsidRPr="00FF00E0">
        <w:rPr>
          <w:b/>
          <w:snapToGrid/>
          <w:color w:val="000000"/>
          <w:szCs w:val="24"/>
        </w:rPr>
        <w:t xml:space="preserve"> Key</w:t>
      </w:r>
      <w:r w:rsidRPr="00FF00E0">
        <w:rPr>
          <w:b/>
          <w:snapToGrid/>
          <w:color w:val="000000"/>
          <w:szCs w:val="24"/>
        </w:rPr>
        <w:t xml:space="preserve"> Performance Indicators</w:t>
      </w:r>
      <w:r w:rsidR="00022594" w:rsidRPr="00FF00E0">
        <w:rPr>
          <w:b/>
          <w:snapToGrid/>
          <w:color w:val="000000"/>
          <w:szCs w:val="24"/>
        </w:rPr>
        <w:t xml:space="preserve"> (KPI)</w:t>
      </w:r>
      <w:r w:rsidRPr="00FF00E0">
        <w:rPr>
          <w:b/>
          <w:snapToGrid/>
          <w:color w:val="000000"/>
          <w:szCs w:val="24"/>
        </w:rPr>
        <w:t>, Performance Standards and Actual Year-End Results</w:t>
      </w:r>
    </w:p>
    <w:p w:rsidR="00E60359" w:rsidRPr="00FF00E0" w:rsidRDefault="00E60359">
      <w:pPr>
        <w:widowControl/>
      </w:pPr>
    </w:p>
    <w:tbl>
      <w:tblPr>
        <w:tblStyle w:val="TableGrid"/>
        <w:tblW w:w="0" w:type="auto"/>
        <w:tblLook w:val="04A0" w:firstRow="1" w:lastRow="0" w:firstColumn="1" w:lastColumn="0" w:noHBand="0" w:noVBand="1"/>
      </w:tblPr>
      <w:tblGrid>
        <w:gridCol w:w="4321"/>
        <w:gridCol w:w="1722"/>
        <w:gridCol w:w="987"/>
        <w:gridCol w:w="1250"/>
        <w:gridCol w:w="1070"/>
      </w:tblGrid>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Objective (Office of the Secretary)</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70691D" w:rsidP="000B5DBD">
            <w:pPr>
              <w:jc w:val="center"/>
              <w:rPr>
                <w:rFonts w:ascii="Times New Roman" w:hAnsi="Times New Roman" w:cs="Times New Roman"/>
                <w:b/>
              </w:rPr>
            </w:pPr>
            <w:r w:rsidRPr="00FF00E0">
              <w:rPr>
                <w:rFonts w:ascii="Times New Roman" w:hAnsi="Times New Roman" w:cs="Times New Roman"/>
                <w:b/>
              </w:rPr>
              <w:t xml:space="preserve">FY </w:t>
            </w:r>
            <w:r w:rsidR="00D13B96">
              <w:rPr>
                <w:rFonts w:ascii="Times New Roman" w:hAnsi="Times New Roman" w:cs="Times New Roman"/>
                <w:b/>
              </w:rPr>
              <w:t xml:space="preserve">22 </w:t>
            </w:r>
            <w:r w:rsidRPr="00FF00E0">
              <w:rPr>
                <w:rFonts w:ascii="Times New Roman" w:hAnsi="Times New Roman" w:cs="Times New Roman"/>
                <w:b/>
              </w:rPr>
              <w:t>Results</w:t>
            </w:r>
          </w:p>
        </w:tc>
        <w:tc>
          <w:tcPr>
            <w:tcW w:w="1070"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 xml:space="preserve">FY </w:t>
            </w:r>
            <w:r w:rsidR="00D13B96">
              <w:rPr>
                <w:rFonts w:ascii="Times New Roman" w:hAnsi="Times New Roman" w:cs="Times New Roman"/>
                <w:b/>
              </w:rPr>
              <w:t>23</w:t>
            </w:r>
            <w:r w:rsidRPr="00FF00E0">
              <w:rPr>
                <w:rFonts w:ascii="Times New Roman" w:hAnsi="Times New Roman" w:cs="Times New Roman"/>
                <w:b/>
              </w:rPr>
              <w:t xml:space="preserve"> Results</w:t>
            </w:r>
          </w:p>
        </w:tc>
      </w:tr>
      <w:tr w:rsidR="0070691D" w:rsidRPr="00FF00E0" w:rsidTr="0070691D">
        <w:tc>
          <w:tcPr>
            <w:tcW w:w="4321" w:type="dxa"/>
          </w:tcPr>
          <w:p w:rsidR="0070691D" w:rsidRPr="00FF00E0" w:rsidRDefault="0070691D" w:rsidP="0070691D">
            <w:pPr>
              <w:rPr>
                <w:rFonts w:ascii="Times New Roman" w:hAnsi="Times New Roman" w:cs="Times New Roman"/>
              </w:rPr>
            </w:pPr>
            <w:r w:rsidRPr="00FF00E0">
              <w:rPr>
                <w:rFonts w:ascii="Times New Roman" w:hAnsi="Times New Roman" w:cs="Times New Roman"/>
              </w:rPr>
              <w:t>To sustain administrative expenses at five percent or less of total annual expenditures.</w:t>
            </w:r>
          </w:p>
        </w:tc>
        <w:tc>
          <w:tcPr>
            <w:tcW w:w="1722" w:type="dxa"/>
          </w:tcPr>
          <w:p w:rsidR="0070691D" w:rsidRPr="00FF00E0" w:rsidRDefault="0070691D" w:rsidP="0070691D">
            <w:pPr>
              <w:rPr>
                <w:rFonts w:ascii="Times New Roman" w:hAnsi="Times New Roman" w:cs="Times New Roman"/>
              </w:rPr>
            </w:pPr>
            <w:r w:rsidRPr="00FF00E0">
              <w:rPr>
                <w:rFonts w:ascii="Times New Roman" w:hAnsi="Times New Roman" w:cs="Times New Roman"/>
              </w:rPr>
              <w:t>Percent administrative expenses.</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5%</w:t>
            </w:r>
          </w:p>
        </w:tc>
        <w:tc>
          <w:tcPr>
            <w:tcW w:w="125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2.82</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1</w:t>
            </w:r>
            <w:r w:rsidR="00F76895" w:rsidRPr="00FF00E0">
              <w:rPr>
                <w:rFonts w:ascii="Times New Roman" w:hAnsi="Times New Roman" w:cs="Times New Roman"/>
              </w:rPr>
              <w:t>.82%</w:t>
            </w:r>
          </w:p>
        </w:tc>
      </w:tr>
      <w:tr w:rsidR="0070691D" w:rsidRPr="00FF00E0" w:rsidTr="0070691D">
        <w:tc>
          <w:tcPr>
            <w:tcW w:w="9350" w:type="dxa"/>
            <w:gridSpan w:val="5"/>
            <w:shd w:val="clear" w:color="auto" w:fill="BFBFBF" w:themeFill="background1" w:themeFillShade="BF"/>
          </w:tcPr>
          <w:p w:rsidR="0070691D" w:rsidRPr="00FF00E0" w:rsidRDefault="0070691D" w:rsidP="0070691D">
            <w:pPr>
              <w:rPr>
                <w:rFonts w:ascii="Times New Roman" w:hAnsi="Times New Roman" w:cs="Times New Roman"/>
                <w:sz w:val="10"/>
                <w:szCs w:val="10"/>
              </w:rPr>
            </w:pPr>
          </w:p>
        </w:tc>
      </w:tr>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Objective (Office of Management and Finance)</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 xml:space="preserve">FY </w:t>
            </w:r>
            <w:r w:rsidR="00D13B96">
              <w:rPr>
                <w:rFonts w:ascii="Times New Roman" w:hAnsi="Times New Roman" w:cs="Times New Roman"/>
                <w:b/>
              </w:rPr>
              <w:t>22</w:t>
            </w:r>
            <w:r w:rsidRPr="00FF00E0">
              <w:rPr>
                <w:rFonts w:ascii="Times New Roman" w:hAnsi="Times New Roman" w:cs="Times New Roman"/>
                <w:b/>
              </w:rPr>
              <w:t xml:space="preserve"> Results</w:t>
            </w:r>
          </w:p>
        </w:tc>
        <w:tc>
          <w:tcPr>
            <w:tcW w:w="1070"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 xml:space="preserve">FY </w:t>
            </w:r>
            <w:r w:rsidR="00D13B96">
              <w:rPr>
                <w:rFonts w:ascii="Times New Roman" w:hAnsi="Times New Roman" w:cs="Times New Roman"/>
                <w:b/>
              </w:rPr>
              <w:t xml:space="preserve">23 </w:t>
            </w:r>
            <w:r w:rsidRPr="00FF00E0">
              <w:rPr>
                <w:rFonts w:ascii="Times New Roman" w:hAnsi="Times New Roman" w:cs="Times New Roman"/>
                <w:b/>
              </w:rPr>
              <w:t>Results</w:t>
            </w:r>
          </w:p>
        </w:tc>
      </w:tr>
      <w:tr w:rsidR="0070691D" w:rsidRPr="00FF00E0" w:rsidTr="0070691D">
        <w:tc>
          <w:tcPr>
            <w:tcW w:w="4321" w:type="dxa"/>
          </w:tcPr>
          <w:p w:rsidR="0070691D" w:rsidRPr="00FF00E0" w:rsidRDefault="0070691D" w:rsidP="0070691D">
            <w:pPr>
              <w:rPr>
                <w:rFonts w:ascii="Times New Roman" w:hAnsi="Times New Roman" w:cs="Times New Roman"/>
              </w:rPr>
            </w:pPr>
            <w:r w:rsidRPr="00FF00E0">
              <w:rPr>
                <w:rFonts w:ascii="Times New Roman" w:hAnsi="Times New Roman" w:cs="Times New Roman"/>
                <w:bCs/>
              </w:rPr>
              <w:t>To deliver better, cleaner, safer and less congested modes of transportation by sustaining a highly skilled workforce at all levels within the Department by maintaining an overall turnover rate at or below the statewide turnover rate.</w:t>
            </w:r>
          </w:p>
        </w:tc>
        <w:tc>
          <w:tcPr>
            <w:tcW w:w="1722" w:type="dxa"/>
          </w:tcPr>
          <w:p w:rsidR="0070691D" w:rsidRPr="00FF00E0" w:rsidRDefault="0070691D" w:rsidP="0070691D">
            <w:pPr>
              <w:rPr>
                <w:rFonts w:ascii="Times New Roman" w:hAnsi="Times New Roman" w:cs="Times New Roman"/>
              </w:rPr>
            </w:pPr>
            <w:r w:rsidRPr="00FF00E0">
              <w:rPr>
                <w:rFonts w:ascii="Times New Roman" w:hAnsi="Times New Roman" w:cs="Times New Roman"/>
              </w:rPr>
              <w:t>Turnover rate.</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13%</w:t>
            </w:r>
          </w:p>
        </w:tc>
        <w:tc>
          <w:tcPr>
            <w:tcW w:w="125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13.95</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15.62</w:t>
            </w:r>
            <w:r w:rsidR="00F76895" w:rsidRPr="00FF00E0">
              <w:rPr>
                <w:rFonts w:ascii="Times New Roman" w:hAnsi="Times New Roman" w:cs="Times New Roman"/>
              </w:rPr>
              <w:t>%</w:t>
            </w:r>
          </w:p>
          <w:p w:rsidR="0070691D" w:rsidRPr="00FF00E0" w:rsidRDefault="0070691D" w:rsidP="0070691D">
            <w:pPr>
              <w:jc w:val="center"/>
              <w:rPr>
                <w:rFonts w:ascii="Times New Roman" w:hAnsi="Times New Roman" w:cs="Times New Roman"/>
              </w:rPr>
            </w:pPr>
          </w:p>
        </w:tc>
      </w:tr>
      <w:tr w:rsidR="0070691D" w:rsidRPr="00FF00E0" w:rsidTr="0070691D">
        <w:tc>
          <w:tcPr>
            <w:tcW w:w="9350" w:type="dxa"/>
            <w:gridSpan w:val="5"/>
            <w:shd w:val="clear" w:color="auto" w:fill="BFBFBF" w:themeFill="background1" w:themeFillShade="BF"/>
          </w:tcPr>
          <w:p w:rsidR="0070691D" w:rsidRPr="00FF00E0" w:rsidRDefault="0070691D" w:rsidP="0070691D">
            <w:pPr>
              <w:rPr>
                <w:rFonts w:ascii="Times New Roman" w:hAnsi="Times New Roman" w:cs="Times New Roman"/>
                <w:sz w:val="10"/>
                <w:szCs w:val="10"/>
              </w:rPr>
            </w:pPr>
          </w:p>
        </w:tc>
      </w:tr>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Objective (Office of Engineering)</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D13B96" w:rsidP="0070691D">
            <w:pPr>
              <w:jc w:val="center"/>
              <w:rPr>
                <w:rFonts w:ascii="Times New Roman" w:hAnsi="Times New Roman" w:cs="Times New Roman"/>
                <w:b/>
              </w:rPr>
            </w:pPr>
            <w:r>
              <w:rPr>
                <w:rFonts w:ascii="Times New Roman" w:hAnsi="Times New Roman" w:cs="Times New Roman"/>
                <w:b/>
              </w:rPr>
              <w:t>FY 22</w:t>
            </w:r>
            <w:r w:rsidR="000B5DBD" w:rsidRPr="00FF00E0">
              <w:rPr>
                <w:rFonts w:ascii="Times New Roman" w:hAnsi="Times New Roman" w:cs="Times New Roman"/>
                <w:b/>
              </w:rPr>
              <w:t xml:space="preserve"> Results</w:t>
            </w:r>
          </w:p>
        </w:tc>
        <w:tc>
          <w:tcPr>
            <w:tcW w:w="1070" w:type="dxa"/>
          </w:tcPr>
          <w:p w:rsidR="0070691D" w:rsidRPr="00FF00E0" w:rsidRDefault="00D13B96" w:rsidP="0070691D">
            <w:pPr>
              <w:jc w:val="center"/>
              <w:rPr>
                <w:rFonts w:ascii="Times New Roman" w:hAnsi="Times New Roman" w:cs="Times New Roman"/>
                <w:b/>
              </w:rPr>
            </w:pPr>
            <w:r>
              <w:rPr>
                <w:rFonts w:ascii="Times New Roman" w:hAnsi="Times New Roman" w:cs="Times New Roman"/>
                <w:b/>
              </w:rPr>
              <w:t>FY 23</w:t>
            </w:r>
            <w:r w:rsidR="000B5DBD" w:rsidRPr="00FF00E0">
              <w:rPr>
                <w:rFonts w:ascii="Times New Roman" w:hAnsi="Times New Roman" w:cs="Times New Roman"/>
                <w:b/>
              </w:rPr>
              <w:t xml:space="preserve"> Results</w:t>
            </w:r>
          </w:p>
        </w:tc>
      </w:tr>
      <w:tr w:rsidR="0070691D" w:rsidRPr="00FF00E0" w:rsidTr="0070691D">
        <w:tc>
          <w:tcPr>
            <w:tcW w:w="4321" w:type="dxa"/>
          </w:tcPr>
          <w:p w:rsidR="0070691D" w:rsidRPr="00FF00E0" w:rsidRDefault="0070691D" w:rsidP="0070691D">
            <w:pPr>
              <w:rPr>
                <w:rFonts w:ascii="Times New Roman" w:hAnsi="Times New Roman" w:cs="Times New Roman"/>
              </w:rPr>
            </w:pPr>
            <w:r w:rsidRPr="00FF00E0">
              <w:rPr>
                <w:rFonts w:ascii="Times New Roman" w:hAnsi="Times New Roman" w:cs="Times New Roman"/>
                <w:bCs/>
              </w:rPr>
              <w:t>To effectively maintain and improve the Interstate Highway System so that 95% of the system pavement stays in fair or better condition each fiscal year.</w:t>
            </w:r>
          </w:p>
        </w:tc>
        <w:tc>
          <w:tcPr>
            <w:tcW w:w="1722" w:type="dxa"/>
          </w:tcPr>
          <w:p w:rsidR="0070691D" w:rsidRPr="00FF00E0" w:rsidRDefault="0070691D" w:rsidP="0070691D">
            <w:pPr>
              <w:rPr>
                <w:rFonts w:ascii="Times New Roman" w:hAnsi="Times New Roman" w:cs="Times New Roman"/>
              </w:rPr>
            </w:pPr>
            <w:r w:rsidRPr="00FF00E0">
              <w:rPr>
                <w:rFonts w:ascii="Times New Roman" w:hAnsi="Times New Roman" w:cs="Times New Roman"/>
                <w:bCs/>
              </w:rPr>
              <w:t>Percentage of Interstate Highway System miles in fair or higher.</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95%</w:t>
            </w:r>
          </w:p>
        </w:tc>
        <w:tc>
          <w:tcPr>
            <w:tcW w:w="125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94</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98.84</w:t>
            </w:r>
            <w:r w:rsidR="00F76895" w:rsidRPr="00FF00E0">
              <w:rPr>
                <w:rFonts w:ascii="Times New Roman" w:hAnsi="Times New Roman" w:cs="Times New Roman"/>
              </w:rPr>
              <w:t>%</w:t>
            </w:r>
          </w:p>
        </w:tc>
      </w:tr>
      <w:tr w:rsidR="0070691D" w:rsidRPr="00FF00E0" w:rsidTr="0070691D">
        <w:tc>
          <w:tcPr>
            <w:tcW w:w="4321" w:type="dxa"/>
          </w:tcPr>
          <w:p w:rsidR="0070691D" w:rsidRPr="00FF00E0" w:rsidRDefault="0070691D" w:rsidP="0070691D">
            <w:pPr>
              <w:rPr>
                <w:rFonts w:ascii="Times New Roman" w:hAnsi="Times New Roman" w:cs="Times New Roman"/>
              </w:rPr>
            </w:pPr>
            <w:r w:rsidRPr="00FF00E0">
              <w:rPr>
                <w:rFonts w:ascii="Times New Roman" w:hAnsi="Times New Roman" w:cs="Times New Roman"/>
                <w:bCs/>
              </w:rPr>
              <w:t>To effectively maintain and improve the National Highway System so that 85% of the system pavement stays in fair or better condition each fiscal year.</w:t>
            </w:r>
          </w:p>
        </w:tc>
        <w:tc>
          <w:tcPr>
            <w:tcW w:w="1722" w:type="dxa"/>
          </w:tcPr>
          <w:p w:rsidR="0070691D" w:rsidRPr="00FF00E0" w:rsidRDefault="0070691D" w:rsidP="0070691D">
            <w:pPr>
              <w:rPr>
                <w:rFonts w:ascii="Times New Roman" w:hAnsi="Times New Roman" w:cs="Times New Roman"/>
              </w:rPr>
            </w:pPr>
            <w:r w:rsidRPr="00FF00E0">
              <w:rPr>
                <w:rFonts w:ascii="Times New Roman" w:hAnsi="Times New Roman" w:cs="Times New Roman"/>
                <w:bCs/>
              </w:rPr>
              <w:t>Percentage of National Highway System miles in fair or higher.</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85%</w:t>
            </w:r>
          </w:p>
        </w:tc>
        <w:tc>
          <w:tcPr>
            <w:tcW w:w="1250" w:type="dxa"/>
          </w:tcPr>
          <w:p w:rsidR="0070691D" w:rsidRPr="00FF00E0" w:rsidRDefault="00D13B96" w:rsidP="00477B0C">
            <w:pPr>
              <w:jc w:val="center"/>
              <w:rPr>
                <w:rFonts w:ascii="Times New Roman" w:hAnsi="Times New Roman" w:cs="Times New Roman"/>
              </w:rPr>
            </w:pPr>
            <w:r>
              <w:rPr>
                <w:rFonts w:ascii="Times New Roman" w:hAnsi="Times New Roman" w:cs="Times New Roman"/>
              </w:rPr>
              <w:t>86.33</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89.69</w:t>
            </w:r>
            <w:r w:rsidR="00F76895" w:rsidRPr="00FF00E0">
              <w:rPr>
                <w:rFonts w:ascii="Times New Roman" w:hAnsi="Times New Roman" w:cs="Times New Roman"/>
              </w:rPr>
              <w:t>%</w:t>
            </w:r>
          </w:p>
        </w:tc>
      </w:tr>
      <w:tr w:rsidR="0070691D" w:rsidRPr="00FF00E0" w:rsidTr="0070691D">
        <w:tc>
          <w:tcPr>
            <w:tcW w:w="4321" w:type="dxa"/>
          </w:tcPr>
          <w:p w:rsidR="0070691D" w:rsidRPr="00FF00E0" w:rsidRDefault="00F76895" w:rsidP="0070691D">
            <w:pPr>
              <w:rPr>
                <w:rFonts w:ascii="Times New Roman" w:hAnsi="Times New Roman" w:cs="Times New Roman"/>
                <w:bCs/>
              </w:rPr>
            </w:pPr>
            <w:r w:rsidRPr="00FF00E0">
              <w:rPr>
                <w:rFonts w:ascii="Times New Roman" w:hAnsi="Times New Roman" w:cs="Times New Roman"/>
                <w:bCs/>
              </w:rPr>
              <w:t>To effectively maintain and improve the Statewide Highway System so that 75% of the system pavement stays in fair or better condition each fiscal year.</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 xml:space="preserve">Percentage of Highways of Statewide Significance miles in fair or higher </w:t>
            </w:r>
          </w:p>
          <w:p w:rsidR="0070691D" w:rsidRPr="00FF00E0" w:rsidRDefault="0070691D" w:rsidP="0070691D">
            <w:pPr>
              <w:rPr>
                <w:rFonts w:ascii="Times New Roman" w:hAnsi="Times New Roman" w:cs="Times New Roman"/>
                <w:bCs/>
              </w:rPr>
            </w:pPr>
            <w:proofErr w:type="gramStart"/>
            <w:r w:rsidRPr="00FF00E0">
              <w:rPr>
                <w:rFonts w:ascii="Times New Roman" w:hAnsi="Times New Roman" w:cs="Times New Roman"/>
                <w:bCs/>
              </w:rPr>
              <w:t>condition</w:t>
            </w:r>
            <w:proofErr w:type="gramEnd"/>
            <w:r w:rsidRPr="00FF00E0">
              <w:rPr>
                <w:rFonts w:ascii="Times New Roman" w:hAnsi="Times New Roman" w:cs="Times New Roman"/>
                <w:bCs/>
              </w:rPr>
              <w:t>.</w:t>
            </w:r>
            <w:r w:rsidRPr="00FF00E0">
              <w:rPr>
                <w:rFonts w:ascii="Times New Roman" w:hAnsi="Times New Roman" w:cs="Times New Roman"/>
                <w:b/>
                <w:bCs/>
              </w:rPr>
              <w:tab/>
            </w:r>
          </w:p>
        </w:tc>
        <w:tc>
          <w:tcPr>
            <w:tcW w:w="987" w:type="dxa"/>
          </w:tcPr>
          <w:p w:rsidR="0070691D" w:rsidRPr="00FF00E0" w:rsidRDefault="00F76895" w:rsidP="0070691D">
            <w:pPr>
              <w:jc w:val="center"/>
              <w:rPr>
                <w:rFonts w:ascii="Times New Roman" w:hAnsi="Times New Roman" w:cs="Times New Roman"/>
              </w:rPr>
            </w:pPr>
            <w:r w:rsidRPr="00FF00E0">
              <w:rPr>
                <w:rFonts w:ascii="Times New Roman" w:hAnsi="Times New Roman" w:cs="Times New Roman"/>
              </w:rPr>
              <w:t>75</w:t>
            </w:r>
            <w:r w:rsidR="0070691D" w:rsidRPr="00FF00E0">
              <w:rPr>
                <w:rFonts w:ascii="Times New Roman" w:hAnsi="Times New Roman" w:cs="Times New Roman"/>
              </w:rPr>
              <w:t>%</w:t>
            </w:r>
          </w:p>
        </w:tc>
        <w:tc>
          <w:tcPr>
            <w:tcW w:w="125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92.85</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94.90</w:t>
            </w:r>
            <w:r w:rsidR="00F76895" w:rsidRPr="00FF00E0">
              <w:rPr>
                <w:rFonts w:ascii="Times New Roman" w:hAnsi="Times New Roman" w:cs="Times New Roman"/>
              </w:rPr>
              <w:t>%</w:t>
            </w:r>
          </w:p>
        </w:tc>
      </w:tr>
      <w:tr w:rsidR="0070691D" w:rsidRPr="00FF00E0" w:rsidTr="0070691D">
        <w:tc>
          <w:tcPr>
            <w:tcW w:w="4321"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To effectively maintain and improve the Regional Highway System so that 60% of the system pavement stays in fair or better condition each fiscal year.</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Percentage of Regional Highway System miles in fair or higher condition.</w:t>
            </w:r>
            <w:r w:rsidRPr="00FF00E0">
              <w:rPr>
                <w:rFonts w:ascii="Times New Roman" w:hAnsi="Times New Roman" w:cs="Times New Roman"/>
                <w:b/>
                <w:bCs/>
              </w:rPr>
              <w:tab/>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60%</w:t>
            </w:r>
          </w:p>
        </w:tc>
        <w:tc>
          <w:tcPr>
            <w:tcW w:w="125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85.62</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88.40</w:t>
            </w:r>
            <w:r w:rsidR="00F76895" w:rsidRPr="00FF00E0">
              <w:rPr>
                <w:rFonts w:ascii="Times New Roman" w:hAnsi="Times New Roman" w:cs="Times New Roman"/>
              </w:rPr>
              <w:t>%</w:t>
            </w:r>
          </w:p>
        </w:tc>
      </w:tr>
      <w:tr w:rsidR="0070691D" w:rsidRPr="00FF00E0" w:rsidTr="0070691D">
        <w:tc>
          <w:tcPr>
            <w:tcW w:w="4321" w:type="dxa"/>
          </w:tcPr>
          <w:p w:rsidR="0070691D" w:rsidRPr="00FF00E0" w:rsidRDefault="0070691D" w:rsidP="00DB65D2">
            <w:pPr>
              <w:rPr>
                <w:rFonts w:ascii="Times New Roman" w:hAnsi="Times New Roman" w:cs="Times New Roman"/>
                <w:bCs/>
              </w:rPr>
            </w:pPr>
            <w:r w:rsidRPr="00FF00E0">
              <w:rPr>
                <w:rFonts w:ascii="Times New Roman" w:hAnsi="Times New Roman" w:cs="Times New Roman"/>
                <w:bCs/>
              </w:rPr>
              <w:lastRenderedPageBreak/>
              <w:t>To</w:t>
            </w:r>
            <w:r w:rsidR="00DB65D2" w:rsidRPr="00FF00E0">
              <w:rPr>
                <w:rFonts w:ascii="Times New Roman" w:hAnsi="Times New Roman" w:cs="Times New Roman"/>
                <w:bCs/>
              </w:rPr>
              <w:t xml:space="preserve"> sustain the condition and safety of Louisiana’s On-System (state owned) bridges, as part of the National Highway System, so that deck area of structurally deficient NHS bridges constitutes no more than 10% of the deck area of all the NHS bridges.</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Percentage of deck area of all structurally deficient On- System bridges</w:t>
            </w:r>
            <w:r w:rsidRPr="00FF00E0">
              <w:rPr>
                <w:rFonts w:ascii="Times New Roman" w:hAnsi="Times New Roman" w:cs="Times New Roman"/>
                <w:b/>
                <w:bCs/>
              </w:rPr>
              <w:t>.</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10%</w:t>
            </w:r>
          </w:p>
        </w:tc>
        <w:tc>
          <w:tcPr>
            <w:tcW w:w="1250" w:type="dxa"/>
          </w:tcPr>
          <w:p w:rsidR="0070691D" w:rsidRPr="00FF00E0" w:rsidRDefault="00D13B96" w:rsidP="00477B0C">
            <w:pPr>
              <w:jc w:val="center"/>
              <w:rPr>
                <w:rFonts w:ascii="Times New Roman" w:hAnsi="Times New Roman" w:cs="Times New Roman"/>
              </w:rPr>
            </w:pPr>
            <w:r>
              <w:rPr>
                <w:rFonts w:ascii="Times New Roman" w:hAnsi="Times New Roman" w:cs="Times New Roman"/>
              </w:rPr>
              <w:t>5.74</w:t>
            </w:r>
            <w:r w:rsidR="000B5DBD" w:rsidRPr="00FF00E0">
              <w:rPr>
                <w:rFonts w:ascii="Times New Roman" w:hAnsi="Times New Roman" w:cs="Times New Roman"/>
              </w:rPr>
              <w:t>%</w:t>
            </w:r>
          </w:p>
        </w:tc>
        <w:tc>
          <w:tcPr>
            <w:tcW w:w="107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3.73</w:t>
            </w:r>
            <w:r w:rsidR="00F76895" w:rsidRPr="00FF00E0">
              <w:rPr>
                <w:rFonts w:ascii="Times New Roman" w:hAnsi="Times New Roman" w:cs="Times New Roman"/>
              </w:rPr>
              <w:t>%</w:t>
            </w:r>
          </w:p>
        </w:tc>
      </w:tr>
      <w:tr w:rsidR="0070691D" w:rsidRPr="00FF00E0" w:rsidTr="0070691D">
        <w:tc>
          <w:tcPr>
            <w:tcW w:w="4321" w:type="dxa"/>
          </w:tcPr>
          <w:p w:rsidR="0070691D" w:rsidRPr="00FF00E0" w:rsidRDefault="0070691D" w:rsidP="00DB65D2">
            <w:pPr>
              <w:rPr>
                <w:rFonts w:ascii="Times New Roman" w:hAnsi="Times New Roman" w:cs="Times New Roman"/>
                <w:bCs/>
              </w:rPr>
            </w:pPr>
            <w:r w:rsidRPr="00FF00E0">
              <w:rPr>
                <w:rFonts w:ascii="Times New Roman" w:hAnsi="Times New Roman" w:cs="Times New Roman"/>
                <w:bCs/>
              </w:rPr>
              <w:t xml:space="preserve">To </w:t>
            </w:r>
            <w:r w:rsidR="00DB65D2" w:rsidRPr="00FF00E0">
              <w:rPr>
                <w:rFonts w:ascii="Times New Roman" w:hAnsi="Times New Roman" w:cs="Times New Roman"/>
                <w:bCs/>
              </w:rPr>
              <w:t>sustain the condition and safety of Louisiana’s On-system (state owned) bridges, as part of the Statewide and Regional Highway System, so that deck area of the structurally deficient bridges constitutes not more than 20% of the deck area of all the SHS and RHS bridges.</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 xml:space="preserve">Percentage of deck area of all structurally deficient </w:t>
            </w:r>
            <w:r w:rsidR="00DB65D2" w:rsidRPr="00FF00E0">
              <w:rPr>
                <w:rFonts w:ascii="Times New Roman" w:hAnsi="Times New Roman" w:cs="Times New Roman"/>
                <w:bCs/>
              </w:rPr>
              <w:t>On</w:t>
            </w:r>
            <w:r w:rsidRPr="00FF00E0">
              <w:rPr>
                <w:rFonts w:ascii="Times New Roman" w:hAnsi="Times New Roman" w:cs="Times New Roman"/>
                <w:bCs/>
              </w:rPr>
              <w:t>- System bridges.</w:t>
            </w:r>
          </w:p>
          <w:p w:rsidR="0070691D" w:rsidRPr="00FF00E0" w:rsidRDefault="0070691D" w:rsidP="0070691D">
            <w:pPr>
              <w:rPr>
                <w:rFonts w:ascii="Times New Roman" w:hAnsi="Times New Roman" w:cs="Times New Roman"/>
                <w:bCs/>
              </w:rPr>
            </w:pPr>
          </w:p>
        </w:tc>
        <w:tc>
          <w:tcPr>
            <w:tcW w:w="987" w:type="dxa"/>
          </w:tcPr>
          <w:p w:rsidR="0070691D" w:rsidRPr="00FF00E0" w:rsidRDefault="00477B0C" w:rsidP="0070691D">
            <w:pPr>
              <w:jc w:val="center"/>
              <w:rPr>
                <w:rFonts w:ascii="Times New Roman" w:hAnsi="Times New Roman" w:cs="Times New Roman"/>
              </w:rPr>
            </w:pPr>
            <w:r w:rsidRPr="00FF00E0">
              <w:rPr>
                <w:rFonts w:ascii="Times New Roman" w:hAnsi="Times New Roman" w:cs="Times New Roman"/>
              </w:rPr>
              <w:t>2</w:t>
            </w:r>
            <w:r w:rsidR="0070691D" w:rsidRPr="00FF00E0">
              <w:rPr>
                <w:rFonts w:ascii="Times New Roman" w:hAnsi="Times New Roman" w:cs="Times New Roman"/>
              </w:rPr>
              <w:t>0%</w:t>
            </w:r>
          </w:p>
        </w:tc>
        <w:tc>
          <w:tcPr>
            <w:tcW w:w="1250" w:type="dxa"/>
          </w:tcPr>
          <w:p w:rsidR="0070691D" w:rsidRPr="00FF00E0" w:rsidRDefault="000B5DBD" w:rsidP="0070691D">
            <w:pPr>
              <w:jc w:val="center"/>
              <w:rPr>
                <w:rFonts w:ascii="Times New Roman" w:hAnsi="Times New Roman" w:cs="Times New Roman"/>
              </w:rPr>
            </w:pPr>
            <w:r w:rsidRPr="00FF00E0">
              <w:rPr>
                <w:rFonts w:ascii="Times New Roman" w:hAnsi="Times New Roman" w:cs="Times New Roman"/>
              </w:rPr>
              <w:t>14</w:t>
            </w:r>
            <w:r w:rsidR="00D13B96">
              <w:rPr>
                <w:rFonts w:ascii="Times New Roman" w:hAnsi="Times New Roman" w:cs="Times New Roman"/>
              </w:rPr>
              <w:t>.35</w:t>
            </w:r>
            <w:r w:rsidRPr="00FF00E0">
              <w:rPr>
                <w:rFonts w:ascii="Times New Roman" w:hAnsi="Times New Roman" w:cs="Times New Roman"/>
              </w:rPr>
              <w:t>%</w:t>
            </w:r>
          </w:p>
        </w:tc>
        <w:tc>
          <w:tcPr>
            <w:tcW w:w="1070" w:type="dxa"/>
          </w:tcPr>
          <w:p w:rsidR="0070691D" w:rsidRPr="00FF00E0" w:rsidRDefault="00F76895" w:rsidP="0070691D">
            <w:pPr>
              <w:jc w:val="center"/>
              <w:rPr>
                <w:rFonts w:ascii="Times New Roman" w:hAnsi="Times New Roman" w:cs="Times New Roman"/>
              </w:rPr>
            </w:pPr>
            <w:r w:rsidRPr="00FF00E0">
              <w:rPr>
                <w:rFonts w:ascii="Times New Roman" w:hAnsi="Times New Roman" w:cs="Times New Roman"/>
              </w:rPr>
              <w:t>14</w:t>
            </w:r>
            <w:r w:rsidR="00D13B96">
              <w:rPr>
                <w:rFonts w:ascii="Times New Roman" w:hAnsi="Times New Roman" w:cs="Times New Roman"/>
              </w:rPr>
              <w:t>.90</w:t>
            </w:r>
            <w:r w:rsidRPr="00FF00E0">
              <w:rPr>
                <w:rFonts w:ascii="Times New Roman" w:hAnsi="Times New Roman" w:cs="Times New Roman"/>
              </w:rPr>
              <w:t>%</w:t>
            </w:r>
          </w:p>
        </w:tc>
      </w:tr>
      <w:tr w:rsidR="0070691D" w:rsidRPr="00FF00E0" w:rsidTr="0070691D">
        <w:tc>
          <w:tcPr>
            <w:tcW w:w="9350" w:type="dxa"/>
            <w:gridSpan w:val="5"/>
            <w:shd w:val="clear" w:color="auto" w:fill="BFBFBF" w:themeFill="background1" w:themeFillShade="BF"/>
          </w:tcPr>
          <w:p w:rsidR="0070691D" w:rsidRPr="00FF00E0" w:rsidRDefault="0070691D" w:rsidP="0070691D">
            <w:pPr>
              <w:rPr>
                <w:rFonts w:ascii="Times New Roman" w:hAnsi="Times New Roman" w:cs="Times New Roman"/>
                <w:sz w:val="10"/>
                <w:szCs w:val="10"/>
              </w:rPr>
            </w:pPr>
          </w:p>
        </w:tc>
      </w:tr>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Objective (Office of Planning)</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D13B96" w:rsidP="00477B0C">
            <w:pPr>
              <w:jc w:val="center"/>
              <w:rPr>
                <w:rFonts w:ascii="Times New Roman" w:hAnsi="Times New Roman" w:cs="Times New Roman"/>
                <w:b/>
              </w:rPr>
            </w:pPr>
            <w:r>
              <w:rPr>
                <w:rFonts w:ascii="Times New Roman" w:hAnsi="Times New Roman" w:cs="Times New Roman"/>
                <w:b/>
              </w:rPr>
              <w:t>FY 22</w:t>
            </w:r>
            <w:r w:rsidR="000B5DBD" w:rsidRPr="00FF00E0">
              <w:rPr>
                <w:rFonts w:ascii="Times New Roman" w:hAnsi="Times New Roman" w:cs="Times New Roman"/>
                <w:b/>
              </w:rPr>
              <w:t xml:space="preserve"> Results</w:t>
            </w:r>
          </w:p>
        </w:tc>
        <w:tc>
          <w:tcPr>
            <w:tcW w:w="1070" w:type="dxa"/>
          </w:tcPr>
          <w:p w:rsidR="0070691D" w:rsidRPr="00FF00E0" w:rsidRDefault="00D13B96" w:rsidP="00477B0C">
            <w:pPr>
              <w:jc w:val="center"/>
              <w:rPr>
                <w:rFonts w:ascii="Times New Roman" w:hAnsi="Times New Roman" w:cs="Times New Roman"/>
                <w:b/>
              </w:rPr>
            </w:pPr>
            <w:r>
              <w:rPr>
                <w:rFonts w:ascii="Times New Roman" w:hAnsi="Times New Roman" w:cs="Times New Roman"/>
                <w:b/>
              </w:rPr>
              <w:t>FY 23</w:t>
            </w:r>
            <w:r w:rsidR="000B5DBD" w:rsidRPr="00FF00E0">
              <w:rPr>
                <w:rFonts w:ascii="Times New Roman" w:hAnsi="Times New Roman" w:cs="Times New Roman"/>
                <w:b/>
              </w:rPr>
              <w:t xml:space="preserve"> Results</w:t>
            </w:r>
          </w:p>
        </w:tc>
      </w:tr>
      <w:tr w:rsidR="0070691D" w:rsidRPr="00FF00E0" w:rsidTr="0070691D">
        <w:tc>
          <w:tcPr>
            <w:tcW w:w="4321"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Implement an average of 3% of the Louisiana Statewide Transportation Plan each fiscal.</w:t>
            </w:r>
          </w:p>
        </w:tc>
        <w:tc>
          <w:tcPr>
            <w:tcW w:w="1722" w:type="dxa"/>
          </w:tcPr>
          <w:p w:rsidR="0070691D" w:rsidRPr="00FF00E0" w:rsidRDefault="001855C0" w:rsidP="0070691D">
            <w:pPr>
              <w:rPr>
                <w:rFonts w:ascii="Times New Roman" w:hAnsi="Times New Roman" w:cs="Times New Roman"/>
                <w:bCs/>
              </w:rPr>
            </w:pPr>
            <w:r>
              <w:rPr>
                <w:rFonts w:ascii="Times New Roman" w:hAnsi="Times New Roman" w:cs="Times New Roman"/>
                <w:bCs/>
              </w:rPr>
              <w:t>P</w:t>
            </w:r>
            <w:r w:rsidR="0070691D" w:rsidRPr="00FF00E0">
              <w:rPr>
                <w:rFonts w:ascii="Times New Roman" w:hAnsi="Times New Roman" w:cs="Times New Roman"/>
                <w:bCs/>
              </w:rPr>
              <w:t xml:space="preserve">ercent of elements in the Louisiana Statewide Transportation Plan </w:t>
            </w:r>
            <w:r w:rsidR="00E60359">
              <w:rPr>
                <w:rFonts w:ascii="Times New Roman" w:hAnsi="Times New Roman" w:cs="Times New Roman"/>
                <w:bCs/>
              </w:rPr>
              <w:t>implemented (</w:t>
            </w:r>
            <w:r w:rsidR="0070691D" w:rsidRPr="00FF00E0">
              <w:rPr>
                <w:rFonts w:ascii="Times New Roman" w:hAnsi="Times New Roman" w:cs="Times New Roman"/>
                <w:bCs/>
              </w:rPr>
              <w:t>completed or fully funded) in current year.</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3%</w:t>
            </w:r>
          </w:p>
        </w:tc>
        <w:tc>
          <w:tcPr>
            <w:tcW w:w="1250" w:type="dxa"/>
          </w:tcPr>
          <w:p w:rsidR="0070691D" w:rsidRPr="00FF00E0" w:rsidRDefault="00D13B96" w:rsidP="0070691D">
            <w:pPr>
              <w:jc w:val="center"/>
              <w:rPr>
                <w:rFonts w:ascii="Times New Roman" w:hAnsi="Times New Roman" w:cs="Times New Roman"/>
              </w:rPr>
            </w:pPr>
            <w:r>
              <w:rPr>
                <w:rFonts w:ascii="Times New Roman" w:hAnsi="Times New Roman" w:cs="Times New Roman"/>
              </w:rPr>
              <w:t>3.3</w:t>
            </w:r>
            <w:r w:rsidR="000B5DBD" w:rsidRPr="00FF00E0">
              <w:rPr>
                <w:rFonts w:ascii="Times New Roman" w:hAnsi="Times New Roman" w:cs="Times New Roman"/>
              </w:rPr>
              <w:t>%</w:t>
            </w:r>
          </w:p>
        </w:tc>
        <w:tc>
          <w:tcPr>
            <w:tcW w:w="1070" w:type="dxa"/>
          </w:tcPr>
          <w:p w:rsidR="0070691D" w:rsidRPr="00FF00E0" w:rsidRDefault="006F18B1" w:rsidP="0070691D">
            <w:pPr>
              <w:jc w:val="center"/>
              <w:rPr>
                <w:rFonts w:ascii="Times New Roman" w:hAnsi="Times New Roman" w:cs="Times New Roman"/>
              </w:rPr>
            </w:pPr>
            <w:r w:rsidRPr="00FF00E0">
              <w:rPr>
                <w:rFonts w:ascii="Times New Roman" w:hAnsi="Times New Roman" w:cs="Times New Roman"/>
              </w:rPr>
              <w:t>3.3%</w:t>
            </w:r>
          </w:p>
        </w:tc>
      </w:tr>
      <w:tr w:rsidR="0070691D" w:rsidRPr="00FF00E0" w:rsidTr="0070691D">
        <w:tc>
          <w:tcPr>
            <w:tcW w:w="4321" w:type="dxa"/>
          </w:tcPr>
          <w:p w:rsidR="0070691D" w:rsidRPr="00FF00E0" w:rsidRDefault="006F18B1" w:rsidP="00054B17">
            <w:pPr>
              <w:rPr>
                <w:rFonts w:ascii="Times New Roman" w:hAnsi="Times New Roman" w:cs="Times New Roman"/>
                <w:bCs/>
              </w:rPr>
            </w:pPr>
            <w:r w:rsidRPr="00FF00E0">
              <w:rPr>
                <w:rFonts w:ascii="Times New Roman" w:hAnsi="Times New Roman" w:cs="Times New Roman"/>
                <w:bCs/>
              </w:rPr>
              <w:t xml:space="preserve">To achieve at least a 10% reduction in fatal and serious injury crash rates at selected crash locations through the implementation of safety improvement projects each year focused on roadway departure and intersections.  </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Average percent reduction in crash rates at all safety improvement project.</w:t>
            </w:r>
          </w:p>
        </w:tc>
        <w:tc>
          <w:tcPr>
            <w:tcW w:w="987" w:type="dxa"/>
          </w:tcPr>
          <w:p w:rsidR="0070691D" w:rsidRPr="00FF00E0" w:rsidRDefault="006F18B1" w:rsidP="0070691D">
            <w:pPr>
              <w:jc w:val="center"/>
              <w:rPr>
                <w:rFonts w:ascii="Times New Roman" w:hAnsi="Times New Roman" w:cs="Times New Roman"/>
              </w:rPr>
            </w:pPr>
            <w:r w:rsidRPr="00FF00E0">
              <w:rPr>
                <w:rFonts w:ascii="Times New Roman" w:hAnsi="Times New Roman" w:cs="Times New Roman"/>
              </w:rPr>
              <w:t>10</w:t>
            </w:r>
            <w:r w:rsidR="0070691D" w:rsidRPr="00FF00E0">
              <w:rPr>
                <w:rFonts w:ascii="Times New Roman" w:hAnsi="Times New Roman" w:cs="Times New Roman"/>
              </w:rPr>
              <w:t>%</w:t>
            </w:r>
          </w:p>
        </w:tc>
        <w:tc>
          <w:tcPr>
            <w:tcW w:w="1250" w:type="dxa"/>
          </w:tcPr>
          <w:p w:rsidR="0070691D" w:rsidRPr="00FF00E0" w:rsidRDefault="00440A55" w:rsidP="0070691D">
            <w:pPr>
              <w:jc w:val="center"/>
              <w:rPr>
                <w:rFonts w:ascii="Times New Roman" w:hAnsi="Times New Roman" w:cs="Times New Roman"/>
              </w:rPr>
            </w:pPr>
            <w:r>
              <w:rPr>
                <w:rFonts w:ascii="Times New Roman" w:hAnsi="Times New Roman" w:cs="Times New Roman"/>
              </w:rPr>
              <w:t>46.43</w:t>
            </w:r>
            <w:r w:rsidR="000B5DBD" w:rsidRPr="00FF00E0">
              <w:rPr>
                <w:rFonts w:ascii="Times New Roman" w:hAnsi="Times New Roman" w:cs="Times New Roman"/>
              </w:rPr>
              <w:t>%</w:t>
            </w:r>
          </w:p>
        </w:tc>
        <w:tc>
          <w:tcPr>
            <w:tcW w:w="1070" w:type="dxa"/>
          </w:tcPr>
          <w:p w:rsidR="0070691D" w:rsidRPr="00FF00E0" w:rsidRDefault="00440A55" w:rsidP="0070691D">
            <w:pPr>
              <w:jc w:val="center"/>
              <w:rPr>
                <w:rFonts w:ascii="Times New Roman" w:hAnsi="Times New Roman" w:cs="Times New Roman"/>
              </w:rPr>
            </w:pPr>
            <w:r>
              <w:rPr>
                <w:rFonts w:ascii="Times New Roman" w:hAnsi="Times New Roman" w:cs="Times New Roman"/>
              </w:rPr>
              <w:t>30.98</w:t>
            </w:r>
            <w:r w:rsidR="006F18B1" w:rsidRPr="00FF00E0">
              <w:rPr>
                <w:rFonts w:ascii="Times New Roman" w:hAnsi="Times New Roman" w:cs="Times New Roman"/>
              </w:rPr>
              <w:t>%</w:t>
            </w:r>
          </w:p>
        </w:tc>
      </w:tr>
      <w:tr w:rsidR="0070691D" w:rsidRPr="00FF00E0" w:rsidTr="0070691D">
        <w:tc>
          <w:tcPr>
            <w:tcW w:w="4321" w:type="dxa"/>
          </w:tcPr>
          <w:p w:rsidR="0070691D" w:rsidRPr="00FF00E0" w:rsidRDefault="0070691D" w:rsidP="00DB65D2">
            <w:pPr>
              <w:rPr>
                <w:rFonts w:ascii="Times New Roman" w:hAnsi="Times New Roman" w:cs="Times New Roman"/>
                <w:bCs/>
              </w:rPr>
            </w:pPr>
            <w:r w:rsidRPr="00FF00E0">
              <w:rPr>
                <w:rFonts w:ascii="Times New Roman" w:hAnsi="Times New Roman" w:cs="Times New Roman"/>
                <w:bCs/>
              </w:rPr>
              <w:t>Maintain 90% or greater of the Interstate Highway System in uncongested conditions each fiscal year.</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Percent of the Interstate Highway System in uncongested condition.</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90%</w:t>
            </w:r>
          </w:p>
        </w:tc>
        <w:tc>
          <w:tcPr>
            <w:tcW w:w="1250" w:type="dxa"/>
          </w:tcPr>
          <w:p w:rsidR="0070691D" w:rsidRPr="00FF00E0" w:rsidRDefault="00440A55" w:rsidP="0070691D">
            <w:pPr>
              <w:jc w:val="center"/>
              <w:rPr>
                <w:rFonts w:ascii="Times New Roman" w:hAnsi="Times New Roman" w:cs="Times New Roman"/>
              </w:rPr>
            </w:pPr>
            <w:r>
              <w:rPr>
                <w:rFonts w:ascii="Times New Roman" w:hAnsi="Times New Roman" w:cs="Times New Roman"/>
              </w:rPr>
              <w:t>98.48</w:t>
            </w:r>
            <w:r w:rsidR="000B5DBD" w:rsidRPr="00FF00E0">
              <w:rPr>
                <w:rFonts w:ascii="Times New Roman" w:hAnsi="Times New Roman" w:cs="Times New Roman"/>
              </w:rPr>
              <w:t>%</w:t>
            </w:r>
          </w:p>
        </w:tc>
        <w:tc>
          <w:tcPr>
            <w:tcW w:w="1070" w:type="dxa"/>
          </w:tcPr>
          <w:p w:rsidR="0070691D" w:rsidRPr="00FF00E0" w:rsidRDefault="00440A55" w:rsidP="0070691D">
            <w:pPr>
              <w:jc w:val="center"/>
              <w:rPr>
                <w:rFonts w:ascii="Times New Roman" w:hAnsi="Times New Roman" w:cs="Times New Roman"/>
              </w:rPr>
            </w:pPr>
            <w:r>
              <w:rPr>
                <w:rFonts w:ascii="Times New Roman" w:hAnsi="Times New Roman" w:cs="Times New Roman"/>
              </w:rPr>
              <w:t>98.92</w:t>
            </w:r>
            <w:r w:rsidR="006F18B1" w:rsidRPr="00FF00E0">
              <w:rPr>
                <w:rFonts w:ascii="Times New Roman" w:hAnsi="Times New Roman" w:cs="Times New Roman"/>
              </w:rPr>
              <w:t>%</w:t>
            </w:r>
          </w:p>
        </w:tc>
      </w:tr>
      <w:tr w:rsidR="0070691D" w:rsidRPr="00FF00E0" w:rsidTr="0070691D">
        <w:tc>
          <w:tcPr>
            <w:tcW w:w="4321" w:type="dxa"/>
          </w:tcPr>
          <w:p w:rsidR="0070691D" w:rsidRPr="00FF00E0" w:rsidRDefault="0070691D" w:rsidP="00DB65D2">
            <w:pPr>
              <w:rPr>
                <w:rFonts w:ascii="Times New Roman" w:hAnsi="Times New Roman" w:cs="Times New Roman"/>
                <w:bCs/>
              </w:rPr>
            </w:pPr>
            <w:r w:rsidRPr="00FF00E0">
              <w:rPr>
                <w:rFonts w:ascii="Times New Roman" w:hAnsi="Times New Roman" w:cs="Times New Roman"/>
                <w:bCs/>
              </w:rPr>
              <w:t>Maintain 90% or greater of the National Highway System (NHS) in uncongested conditions each fiscal year.</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Percent of the National Highway System (NHS) in uncongested condition.</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90%</w:t>
            </w:r>
          </w:p>
        </w:tc>
        <w:tc>
          <w:tcPr>
            <w:tcW w:w="1250" w:type="dxa"/>
          </w:tcPr>
          <w:p w:rsidR="0070691D" w:rsidRPr="00FF00E0" w:rsidRDefault="00440A55" w:rsidP="00DB65D2">
            <w:pPr>
              <w:jc w:val="center"/>
              <w:rPr>
                <w:rFonts w:ascii="Times New Roman" w:hAnsi="Times New Roman" w:cs="Times New Roman"/>
              </w:rPr>
            </w:pPr>
            <w:r>
              <w:rPr>
                <w:rFonts w:ascii="Times New Roman" w:hAnsi="Times New Roman" w:cs="Times New Roman"/>
              </w:rPr>
              <w:t>88.97</w:t>
            </w:r>
            <w:r w:rsidR="000B5DBD" w:rsidRPr="00FF00E0">
              <w:rPr>
                <w:rFonts w:ascii="Times New Roman" w:hAnsi="Times New Roman" w:cs="Times New Roman"/>
              </w:rPr>
              <w:t>%</w:t>
            </w:r>
          </w:p>
        </w:tc>
        <w:tc>
          <w:tcPr>
            <w:tcW w:w="1070" w:type="dxa"/>
          </w:tcPr>
          <w:p w:rsidR="0070691D" w:rsidRPr="00FF00E0" w:rsidRDefault="00440A55" w:rsidP="0070691D">
            <w:pPr>
              <w:jc w:val="center"/>
              <w:rPr>
                <w:rFonts w:ascii="Times New Roman" w:hAnsi="Times New Roman" w:cs="Times New Roman"/>
              </w:rPr>
            </w:pPr>
            <w:r>
              <w:rPr>
                <w:rFonts w:ascii="Times New Roman" w:hAnsi="Times New Roman" w:cs="Times New Roman"/>
              </w:rPr>
              <w:t>95.11</w:t>
            </w:r>
            <w:r w:rsidR="006F18B1" w:rsidRPr="00FF00E0">
              <w:rPr>
                <w:rFonts w:ascii="Times New Roman" w:hAnsi="Times New Roman" w:cs="Times New Roman"/>
              </w:rPr>
              <w:t>%</w:t>
            </w:r>
          </w:p>
        </w:tc>
      </w:tr>
      <w:tr w:rsidR="0070691D" w:rsidRPr="00FF00E0" w:rsidTr="0070691D">
        <w:tc>
          <w:tcPr>
            <w:tcW w:w="9350" w:type="dxa"/>
            <w:gridSpan w:val="5"/>
            <w:shd w:val="clear" w:color="auto" w:fill="BFBFBF" w:themeFill="background1" w:themeFillShade="BF"/>
          </w:tcPr>
          <w:p w:rsidR="0070691D" w:rsidRPr="00FF00E0" w:rsidRDefault="0070691D" w:rsidP="0070691D">
            <w:pPr>
              <w:rPr>
                <w:rFonts w:ascii="Times New Roman" w:hAnsi="Times New Roman" w:cs="Times New Roman"/>
                <w:sz w:val="10"/>
                <w:szCs w:val="10"/>
              </w:rPr>
            </w:pPr>
          </w:p>
        </w:tc>
      </w:tr>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lastRenderedPageBreak/>
              <w:t>Objective (Operations)</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440A55" w:rsidP="00477B0C">
            <w:pPr>
              <w:jc w:val="center"/>
              <w:rPr>
                <w:rFonts w:ascii="Times New Roman" w:hAnsi="Times New Roman" w:cs="Times New Roman"/>
                <w:b/>
              </w:rPr>
            </w:pPr>
            <w:r>
              <w:rPr>
                <w:rFonts w:ascii="Times New Roman" w:hAnsi="Times New Roman" w:cs="Times New Roman"/>
                <w:b/>
              </w:rPr>
              <w:t>FY 22</w:t>
            </w:r>
            <w:r w:rsidR="000B5DBD" w:rsidRPr="00FF00E0">
              <w:rPr>
                <w:rFonts w:ascii="Times New Roman" w:hAnsi="Times New Roman" w:cs="Times New Roman"/>
                <w:b/>
              </w:rPr>
              <w:t xml:space="preserve"> Results</w:t>
            </w:r>
          </w:p>
        </w:tc>
        <w:tc>
          <w:tcPr>
            <w:tcW w:w="1070" w:type="dxa"/>
          </w:tcPr>
          <w:p w:rsidR="0070691D" w:rsidRPr="00FF00E0" w:rsidRDefault="00440A55" w:rsidP="00477B0C">
            <w:pPr>
              <w:jc w:val="center"/>
              <w:rPr>
                <w:rFonts w:ascii="Times New Roman" w:hAnsi="Times New Roman" w:cs="Times New Roman"/>
                <w:b/>
              </w:rPr>
            </w:pPr>
            <w:r>
              <w:rPr>
                <w:rFonts w:ascii="Times New Roman" w:hAnsi="Times New Roman" w:cs="Times New Roman"/>
                <w:b/>
              </w:rPr>
              <w:t>FY 23</w:t>
            </w:r>
            <w:r w:rsidR="000B5DBD" w:rsidRPr="00FF00E0">
              <w:rPr>
                <w:rFonts w:ascii="Times New Roman" w:hAnsi="Times New Roman" w:cs="Times New Roman"/>
                <w:b/>
              </w:rPr>
              <w:t xml:space="preserve"> Results</w:t>
            </w:r>
          </w:p>
        </w:tc>
      </w:tr>
      <w:tr w:rsidR="0070691D" w:rsidRPr="00FF00E0" w:rsidTr="0070691D">
        <w:tc>
          <w:tcPr>
            <w:tcW w:w="4321"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To ensure safety by performing all required on-system bridge inspections for each fiscal year.</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Percent of required on-system bridge inspections performed.</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100%</w:t>
            </w:r>
          </w:p>
        </w:tc>
        <w:tc>
          <w:tcPr>
            <w:tcW w:w="1250" w:type="dxa"/>
          </w:tcPr>
          <w:p w:rsidR="0070691D" w:rsidRPr="00FF00E0" w:rsidRDefault="000B5DBD" w:rsidP="0070691D">
            <w:pPr>
              <w:jc w:val="center"/>
              <w:rPr>
                <w:rFonts w:ascii="Times New Roman" w:hAnsi="Times New Roman" w:cs="Times New Roman"/>
              </w:rPr>
            </w:pPr>
            <w:r w:rsidRPr="00FF00E0">
              <w:rPr>
                <w:rFonts w:ascii="Times New Roman" w:hAnsi="Times New Roman" w:cs="Times New Roman"/>
              </w:rPr>
              <w:t>100%</w:t>
            </w:r>
          </w:p>
        </w:tc>
        <w:tc>
          <w:tcPr>
            <w:tcW w:w="1070" w:type="dxa"/>
          </w:tcPr>
          <w:p w:rsidR="0070691D" w:rsidRPr="00FF00E0" w:rsidRDefault="00936C1C" w:rsidP="0070691D">
            <w:pPr>
              <w:jc w:val="center"/>
              <w:rPr>
                <w:rFonts w:ascii="Times New Roman" w:hAnsi="Times New Roman" w:cs="Times New Roman"/>
              </w:rPr>
            </w:pPr>
            <w:r w:rsidRPr="00FF00E0">
              <w:rPr>
                <w:rFonts w:ascii="Times New Roman" w:hAnsi="Times New Roman" w:cs="Times New Roman"/>
              </w:rPr>
              <w:t>100%</w:t>
            </w:r>
          </w:p>
        </w:tc>
      </w:tr>
      <w:tr w:rsidR="0070691D" w:rsidRPr="00FF00E0" w:rsidTr="0070691D">
        <w:tc>
          <w:tcPr>
            <w:tcW w:w="4321"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To ensure safety by performing all required off-system bridge inspections for each fiscal year.</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Percent of required off-system bridge inspections performed.</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100%</w:t>
            </w:r>
          </w:p>
        </w:tc>
        <w:tc>
          <w:tcPr>
            <w:tcW w:w="1250"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100%</w:t>
            </w:r>
          </w:p>
        </w:tc>
        <w:tc>
          <w:tcPr>
            <w:tcW w:w="1070" w:type="dxa"/>
          </w:tcPr>
          <w:p w:rsidR="0070691D" w:rsidRPr="00FF00E0" w:rsidRDefault="00936C1C" w:rsidP="0070691D">
            <w:pPr>
              <w:jc w:val="center"/>
              <w:rPr>
                <w:rFonts w:ascii="Times New Roman" w:hAnsi="Times New Roman" w:cs="Times New Roman"/>
              </w:rPr>
            </w:pPr>
            <w:r w:rsidRPr="00FF00E0">
              <w:rPr>
                <w:rFonts w:ascii="Times New Roman" w:hAnsi="Times New Roman" w:cs="Times New Roman"/>
              </w:rPr>
              <w:t>100%</w:t>
            </w:r>
          </w:p>
        </w:tc>
      </w:tr>
      <w:tr w:rsidR="0070691D" w:rsidRPr="00FF00E0" w:rsidTr="0070691D">
        <w:tc>
          <w:tcPr>
            <w:tcW w:w="9350" w:type="dxa"/>
            <w:gridSpan w:val="5"/>
            <w:shd w:val="clear" w:color="auto" w:fill="BFBFBF" w:themeFill="background1" w:themeFillShade="BF"/>
          </w:tcPr>
          <w:p w:rsidR="0070691D" w:rsidRPr="00FF00E0" w:rsidRDefault="0070691D" w:rsidP="0070691D">
            <w:pPr>
              <w:rPr>
                <w:rFonts w:ascii="Times New Roman" w:hAnsi="Times New Roman" w:cs="Times New Roman"/>
                <w:sz w:val="10"/>
                <w:szCs w:val="10"/>
              </w:rPr>
            </w:pPr>
          </w:p>
        </w:tc>
      </w:tr>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Objective (Office of Multimodal Commerce)</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440A55" w:rsidP="00477B0C">
            <w:pPr>
              <w:jc w:val="center"/>
              <w:rPr>
                <w:rFonts w:ascii="Times New Roman" w:hAnsi="Times New Roman" w:cs="Times New Roman"/>
                <w:b/>
              </w:rPr>
            </w:pPr>
            <w:r>
              <w:rPr>
                <w:rFonts w:ascii="Times New Roman" w:hAnsi="Times New Roman" w:cs="Times New Roman"/>
                <w:b/>
              </w:rPr>
              <w:t>FY 22</w:t>
            </w:r>
            <w:r w:rsidR="000B5DBD" w:rsidRPr="00FF00E0">
              <w:rPr>
                <w:rFonts w:ascii="Times New Roman" w:hAnsi="Times New Roman" w:cs="Times New Roman"/>
                <w:b/>
              </w:rPr>
              <w:t xml:space="preserve"> Results</w:t>
            </w:r>
          </w:p>
        </w:tc>
        <w:tc>
          <w:tcPr>
            <w:tcW w:w="1070" w:type="dxa"/>
          </w:tcPr>
          <w:p w:rsidR="0070691D" w:rsidRPr="00FF00E0" w:rsidRDefault="00440A55" w:rsidP="00477B0C">
            <w:pPr>
              <w:jc w:val="center"/>
              <w:rPr>
                <w:rFonts w:ascii="Times New Roman" w:hAnsi="Times New Roman" w:cs="Times New Roman"/>
                <w:b/>
              </w:rPr>
            </w:pPr>
            <w:r>
              <w:rPr>
                <w:rFonts w:ascii="Times New Roman" w:hAnsi="Times New Roman" w:cs="Times New Roman"/>
                <w:b/>
              </w:rPr>
              <w:t>FY 23</w:t>
            </w:r>
            <w:r w:rsidR="000B5DBD" w:rsidRPr="00FF00E0">
              <w:rPr>
                <w:rFonts w:ascii="Times New Roman" w:hAnsi="Times New Roman" w:cs="Times New Roman"/>
                <w:b/>
              </w:rPr>
              <w:t xml:space="preserve"> Results</w:t>
            </w:r>
          </w:p>
        </w:tc>
      </w:tr>
      <w:tr w:rsidR="0070691D" w:rsidRPr="00FF00E0" w:rsidTr="0070691D">
        <w:tc>
          <w:tcPr>
            <w:tcW w:w="4321" w:type="dxa"/>
          </w:tcPr>
          <w:p w:rsidR="0070691D" w:rsidRPr="00FF00E0" w:rsidRDefault="0070691D" w:rsidP="00D4107B">
            <w:pPr>
              <w:rPr>
                <w:rFonts w:ascii="Times New Roman" w:hAnsi="Times New Roman" w:cs="Times New Roman"/>
                <w:bCs/>
              </w:rPr>
            </w:pPr>
            <w:r w:rsidRPr="00FF00E0">
              <w:rPr>
                <w:rFonts w:ascii="Times New Roman" w:hAnsi="Times New Roman" w:cs="Times New Roman"/>
                <w:bCs/>
              </w:rPr>
              <w:t>To administer the State’s maritime infrastructure development activities to ensure that Louisiana maintains its top position in maritime commerce as measured by the total foreign and domestic cargo tonnage, by investing in port and harbor infrastructure that will return to the state at least five times the state’s investment in benefits.</w:t>
            </w:r>
          </w:p>
        </w:tc>
        <w:tc>
          <w:tcPr>
            <w:tcW w:w="1722" w:type="dxa"/>
          </w:tcPr>
          <w:p w:rsidR="0070691D" w:rsidRPr="00FF00E0" w:rsidRDefault="0070691D" w:rsidP="0070691D">
            <w:pPr>
              <w:rPr>
                <w:rFonts w:ascii="Times New Roman" w:hAnsi="Times New Roman" w:cs="Times New Roman"/>
                <w:bCs/>
              </w:rPr>
            </w:pPr>
            <w:r w:rsidRPr="00FF00E0">
              <w:rPr>
                <w:rFonts w:ascii="Times New Roman" w:hAnsi="Times New Roman" w:cs="Times New Roman"/>
                <w:bCs/>
              </w:rPr>
              <w:t>Return on state's investment (for each dollar of state investment).</w:t>
            </w:r>
          </w:p>
        </w:tc>
        <w:tc>
          <w:tcPr>
            <w:tcW w:w="987" w:type="dxa"/>
          </w:tcPr>
          <w:p w:rsidR="0070691D" w:rsidRPr="00FF00E0" w:rsidRDefault="0070691D" w:rsidP="0070691D">
            <w:pPr>
              <w:jc w:val="center"/>
              <w:rPr>
                <w:rFonts w:ascii="Times New Roman" w:hAnsi="Times New Roman" w:cs="Times New Roman"/>
              </w:rPr>
            </w:pPr>
            <w:r w:rsidRPr="00FF00E0">
              <w:rPr>
                <w:rFonts w:ascii="Times New Roman" w:hAnsi="Times New Roman" w:cs="Times New Roman"/>
              </w:rPr>
              <w:t>$5</w:t>
            </w:r>
          </w:p>
        </w:tc>
        <w:tc>
          <w:tcPr>
            <w:tcW w:w="1250" w:type="dxa"/>
          </w:tcPr>
          <w:p w:rsidR="0070691D" w:rsidRPr="00FF00E0" w:rsidRDefault="00440A55" w:rsidP="00477B0C">
            <w:pPr>
              <w:jc w:val="center"/>
              <w:rPr>
                <w:rFonts w:ascii="Times New Roman" w:hAnsi="Times New Roman" w:cs="Times New Roman"/>
              </w:rPr>
            </w:pPr>
            <w:r>
              <w:rPr>
                <w:rFonts w:ascii="Times New Roman" w:hAnsi="Times New Roman" w:cs="Times New Roman"/>
              </w:rPr>
              <w:t>$6.50</w:t>
            </w:r>
          </w:p>
        </w:tc>
        <w:tc>
          <w:tcPr>
            <w:tcW w:w="1070" w:type="dxa"/>
          </w:tcPr>
          <w:p w:rsidR="0070691D" w:rsidRPr="00FF00E0" w:rsidRDefault="00440A55" w:rsidP="007A2105">
            <w:pPr>
              <w:jc w:val="center"/>
              <w:rPr>
                <w:rFonts w:ascii="Times New Roman" w:hAnsi="Times New Roman" w:cs="Times New Roman"/>
              </w:rPr>
            </w:pPr>
            <w:r>
              <w:rPr>
                <w:rFonts w:ascii="Times New Roman" w:hAnsi="Times New Roman" w:cs="Times New Roman"/>
              </w:rPr>
              <w:t>$7.43</w:t>
            </w:r>
          </w:p>
        </w:tc>
      </w:tr>
      <w:tr w:rsidR="001A61B4" w:rsidRPr="00FF00E0" w:rsidTr="0070691D">
        <w:tc>
          <w:tcPr>
            <w:tcW w:w="4321" w:type="dxa"/>
          </w:tcPr>
          <w:p w:rsidR="001A61B4" w:rsidRPr="00FF00E0" w:rsidRDefault="001A61B4" w:rsidP="00D4107B">
            <w:pPr>
              <w:rPr>
                <w:rFonts w:ascii="Times New Roman" w:hAnsi="Times New Roman" w:cs="Times New Roman"/>
                <w:bCs/>
              </w:rPr>
            </w:pPr>
            <w:r w:rsidRPr="00FF00E0">
              <w:rPr>
                <w:rFonts w:ascii="Times New Roman" w:hAnsi="Times New Roman" w:cs="Times New Roman"/>
                <w:bCs/>
              </w:rPr>
              <w:t>To improve the Port Construction and Development Program performance at all active public port facilities by continually enhancing the infrastructure development.</w:t>
            </w:r>
          </w:p>
        </w:tc>
        <w:tc>
          <w:tcPr>
            <w:tcW w:w="1722" w:type="dxa"/>
          </w:tcPr>
          <w:p w:rsidR="001A61B4" w:rsidRPr="00FF00E0" w:rsidRDefault="001A61B4" w:rsidP="0070691D">
            <w:pPr>
              <w:rPr>
                <w:rFonts w:ascii="Times New Roman" w:hAnsi="Times New Roman" w:cs="Times New Roman"/>
                <w:bCs/>
              </w:rPr>
            </w:pPr>
            <w:r w:rsidRPr="00FF00E0">
              <w:rPr>
                <w:rFonts w:ascii="Times New Roman" w:hAnsi="Times New Roman" w:cs="Times New Roman"/>
                <w:bCs/>
              </w:rPr>
              <w:t>Percent of evaluations conducted annually.</w:t>
            </w:r>
          </w:p>
        </w:tc>
        <w:tc>
          <w:tcPr>
            <w:tcW w:w="987" w:type="dxa"/>
          </w:tcPr>
          <w:p w:rsidR="001A61B4" w:rsidRPr="00FF00E0" w:rsidRDefault="001A61B4" w:rsidP="0070691D">
            <w:pPr>
              <w:jc w:val="center"/>
              <w:rPr>
                <w:rFonts w:ascii="Times New Roman" w:hAnsi="Times New Roman" w:cs="Times New Roman"/>
              </w:rPr>
            </w:pPr>
            <w:r w:rsidRPr="00FF00E0">
              <w:rPr>
                <w:rFonts w:ascii="Times New Roman" w:hAnsi="Times New Roman" w:cs="Times New Roman"/>
              </w:rPr>
              <w:t>100%</w:t>
            </w:r>
          </w:p>
        </w:tc>
        <w:tc>
          <w:tcPr>
            <w:tcW w:w="1250" w:type="dxa"/>
          </w:tcPr>
          <w:p w:rsidR="001A61B4" w:rsidRPr="00FF00E0" w:rsidRDefault="00440A55" w:rsidP="00477B0C">
            <w:pPr>
              <w:jc w:val="center"/>
              <w:rPr>
                <w:rFonts w:ascii="Times New Roman" w:hAnsi="Times New Roman" w:cs="Times New Roman"/>
              </w:rPr>
            </w:pPr>
            <w:r>
              <w:rPr>
                <w:rFonts w:ascii="Times New Roman" w:hAnsi="Times New Roman" w:cs="Times New Roman"/>
              </w:rPr>
              <w:t>100%</w:t>
            </w:r>
          </w:p>
        </w:tc>
        <w:tc>
          <w:tcPr>
            <w:tcW w:w="1070" w:type="dxa"/>
          </w:tcPr>
          <w:p w:rsidR="001A61B4" w:rsidRPr="00FF00E0" w:rsidRDefault="001A61B4" w:rsidP="007A2105">
            <w:pPr>
              <w:jc w:val="center"/>
              <w:rPr>
                <w:rFonts w:ascii="Times New Roman" w:hAnsi="Times New Roman" w:cs="Times New Roman"/>
              </w:rPr>
            </w:pPr>
            <w:r w:rsidRPr="00FF00E0">
              <w:rPr>
                <w:rFonts w:ascii="Times New Roman" w:hAnsi="Times New Roman" w:cs="Times New Roman"/>
              </w:rPr>
              <w:t>100%</w:t>
            </w:r>
          </w:p>
        </w:tc>
      </w:tr>
      <w:tr w:rsidR="0070691D" w:rsidRPr="00FF00E0" w:rsidTr="0070691D">
        <w:tc>
          <w:tcPr>
            <w:tcW w:w="4321"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Objective (Aviation)</w:t>
            </w:r>
          </w:p>
        </w:tc>
        <w:tc>
          <w:tcPr>
            <w:tcW w:w="1722" w:type="dxa"/>
          </w:tcPr>
          <w:p w:rsidR="0070691D" w:rsidRPr="00FF00E0" w:rsidRDefault="0070691D" w:rsidP="0070691D">
            <w:pPr>
              <w:rPr>
                <w:rFonts w:ascii="Times New Roman" w:hAnsi="Times New Roman" w:cs="Times New Roman"/>
                <w:b/>
              </w:rPr>
            </w:pPr>
            <w:r w:rsidRPr="00FF00E0">
              <w:rPr>
                <w:rFonts w:ascii="Times New Roman" w:hAnsi="Times New Roman" w:cs="Times New Roman"/>
                <w:b/>
              </w:rPr>
              <w:t>KPI</w:t>
            </w:r>
          </w:p>
        </w:tc>
        <w:tc>
          <w:tcPr>
            <w:tcW w:w="987" w:type="dxa"/>
          </w:tcPr>
          <w:p w:rsidR="0070691D" w:rsidRPr="00FF00E0" w:rsidRDefault="0070691D" w:rsidP="0070691D">
            <w:pPr>
              <w:jc w:val="center"/>
              <w:rPr>
                <w:rFonts w:ascii="Times New Roman" w:hAnsi="Times New Roman" w:cs="Times New Roman"/>
                <w:b/>
              </w:rPr>
            </w:pPr>
            <w:r w:rsidRPr="00FF00E0">
              <w:rPr>
                <w:rFonts w:ascii="Times New Roman" w:hAnsi="Times New Roman" w:cs="Times New Roman"/>
                <w:b/>
              </w:rPr>
              <w:t>Target</w:t>
            </w:r>
          </w:p>
        </w:tc>
        <w:tc>
          <w:tcPr>
            <w:tcW w:w="1250" w:type="dxa"/>
          </w:tcPr>
          <w:p w:rsidR="0070691D" w:rsidRPr="00FF00E0" w:rsidRDefault="00440A55" w:rsidP="00477B0C">
            <w:pPr>
              <w:jc w:val="center"/>
              <w:rPr>
                <w:rFonts w:ascii="Times New Roman" w:hAnsi="Times New Roman" w:cs="Times New Roman"/>
                <w:b/>
              </w:rPr>
            </w:pPr>
            <w:r>
              <w:rPr>
                <w:rFonts w:ascii="Times New Roman" w:hAnsi="Times New Roman" w:cs="Times New Roman"/>
                <w:b/>
              </w:rPr>
              <w:t>FY 22</w:t>
            </w:r>
            <w:r w:rsidR="000B5DBD" w:rsidRPr="00FF00E0">
              <w:rPr>
                <w:rFonts w:ascii="Times New Roman" w:hAnsi="Times New Roman" w:cs="Times New Roman"/>
                <w:b/>
              </w:rPr>
              <w:t xml:space="preserve"> Results</w:t>
            </w:r>
          </w:p>
        </w:tc>
        <w:tc>
          <w:tcPr>
            <w:tcW w:w="1070" w:type="dxa"/>
          </w:tcPr>
          <w:p w:rsidR="0070691D" w:rsidRPr="00FF00E0" w:rsidRDefault="00440A55" w:rsidP="00477B0C">
            <w:pPr>
              <w:tabs>
                <w:tab w:val="left" w:pos="2240"/>
              </w:tabs>
              <w:jc w:val="center"/>
              <w:rPr>
                <w:rFonts w:ascii="Times New Roman" w:hAnsi="Times New Roman" w:cs="Times New Roman"/>
                <w:b/>
              </w:rPr>
            </w:pPr>
            <w:r>
              <w:rPr>
                <w:rFonts w:ascii="Times New Roman" w:hAnsi="Times New Roman" w:cs="Times New Roman"/>
                <w:b/>
              </w:rPr>
              <w:t>FY 23</w:t>
            </w:r>
            <w:r w:rsidR="000B5DBD" w:rsidRPr="00FF00E0">
              <w:rPr>
                <w:rFonts w:ascii="Times New Roman" w:hAnsi="Times New Roman" w:cs="Times New Roman"/>
                <w:b/>
              </w:rPr>
              <w:t xml:space="preserve"> Results</w:t>
            </w:r>
          </w:p>
        </w:tc>
      </w:tr>
      <w:tr w:rsidR="0070691D" w:rsidRPr="00FF00E0" w:rsidTr="0070691D">
        <w:tc>
          <w:tcPr>
            <w:tcW w:w="4321" w:type="dxa"/>
          </w:tcPr>
          <w:p w:rsidR="0070691D" w:rsidRPr="00FF00E0" w:rsidRDefault="001A61B4" w:rsidP="00D4107B">
            <w:pPr>
              <w:rPr>
                <w:rFonts w:ascii="Times New Roman" w:hAnsi="Times New Roman" w:cs="Times New Roman"/>
              </w:rPr>
            </w:pPr>
            <w:r w:rsidRPr="00FF00E0">
              <w:rPr>
                <w:rFonts w:ascii="Times New Roman" w:hAnsi="Times New Roman" w:cs="Times New Roman"/>
              </w:rPr>
              <w:t>Enhance the Airport Construction and Development Program concentrating on improvement to aviation safety related infrastructure for public airports to ensure 75%</w:t>
            </w:r>
            <w:r w:rsidR="001855C0">
              <w:rPr>
                <w:rFonts w:ascii="Times New Roman" w:hAnsi="Times New Roman" w:cs="Times New Roman"/>
              </w:rPr>
              <w:t xml:space="preserve"> meet or exceed the Pavement Surface Condition for hard surfaced runways on the FAA 5010 </w:t>
            </w:r>
          </w:p>
        </w:tc>
        <w:tc>
          <w:tcPr>
            <w:tcW w:w="1722" w:type="dxa"/>
          </w:tcPr>
          <w:p w:rsidR="0070691D" w:rsidRPr="00FF00E0" w:rsidRDefault="001A61B4" w:rsidP="0070691D">
            <w:pPr>
              <w:rPr>
                <w:rFonts w:ascii="Times New Roman" w:hAnsi="Times New Roman" w:cs="Times New Roman"/>
              </w:rPr>
            </w:pPr>
            <w:r w:rsidRPr="00FF00E0">
              <w:rPr>
                <w:rFonts w:ascii="Times New Roman" w:hAnsi="Times New Roman" w:cs="Times New Roman"/>
              </w:rPr>
              <w:t>Percent of public use airport runways above state minimum condition expectations</w:t>
            </w:r>
          </w:p>
        </w:tc>
        <w:tc>
          <w:tcPr>
            <w:tcW w:w="987" w:type="dxa"/>
          </w:tcPr>
          <w:p w:rsidR="0070691D" w:rsidRPr="00FF00E0" w:rsidRDefault="001A61B4" w:rsidP="0070691D">
            <w:pPr>
              <w:jc w:val="center"/>
              <w:rPr>
                <w:rFonts w:ascii="Times New Roman" w:hAnsi="Times New Roman" w:cs="Times New Roman"/>
              </w:rPr>
            </w:pPr>
            <w:r w:rsidRPr="00FF00E0">
              <w:rPr>
                <w:rFonts w:ascii="Times New Roman" w:hAnsi="Times New Roman" w:cs="Times New Roman"/>
              </w:rPr>
              <w:t>75</w:t>
            </w:r>
            <w:r w:rsidR="0070691D" w:rsidRPr="00FF00E0">
              <w:rPr>
                <w:rFonts w:ascii="Times New Roman" w:hAnsi="Times New Roman" w:cs="Times New Roman"/>
              </w:rPr>
              <w:t>%</w:t>
            </w:r>
          </w:p>
        </w:tc>
        <w:tc>
          <w:tcPr>
            <w:tcW w:w="1250" w:type="dxa"/>
          </w:tcPr>
          <w:p w:rsidR="0070691D" w:rsidRPr="00FF00E0" w:rsidRDefault="00440A55" w:rsidP="0070691D">
            <w:pPr>
              <w:jc w:val="center"/>
              <w:rPr>
                <w:rFonts w:ascii="Times New Roman" w:hAnsi="Times New Roman" w:cs="Times New Roman"/>
              </w:rPr>
            </w:pPr>
            <w:r>
              <w:rPr>
                <w:rFonts w:ascii="Times New Roman" w:hAnsi="Times New Roman" w:cs="Times New Roman"/>
              </w:rPr>
              <w:t>72%</w:t>
            </w:r>
          </w:p>
        </w:tc>
        <w:tc>
          <w:tcPr>
            <w:tcW w:w="1070" w:type="dxa"/>
          </w:tcPr>
          <w:p w:rsidR="0070691D" w:rsidRPr="00FF00E0" w:rsidRDefault="00440A55" w:rsidP="00DB65D2">
            <w:pPr>
              <w:jc w:val="center"/>
              <w:rPr>
                <w:rFonts w:ascii="Times New Roman" w:hAnsi="Times New Roman" w:cs="Times New Roman"/>
              </w:rPr>
            </w:pPr>
            <w:r>
              <w:rPr>
                <w:rFonts w:ascii="Times New Roman" w:hAnsi="Times New Roman" w:cs="Times New Roman"/>
              </w:rPr>
              <w:t>76</w:t>
            </w:r>
            <w:r w:rsidR="001A61B4" w:rsidRPr="00FF00E0">
              <w:rPr>
                <w:rFonts w:ascii="Times New Roman" w:hAnsi="Times New Roman" w:cs="Times New Roman"/>
              </w:rPr>
              <w:t>%</w:t>
            </w:r>
          </w:p>
        </w:tc>
      </w:tr>
      <w:tr w:rsidR="001A61B4" w:rsidTr="0070691D">
        <w:tc>
          <w:tcPr>
            <w:tcW w:w="4321" w:type="dxa"/>
          </w:tcPr>
          <w:p w:rsidR="001A61B4" w:rsidRPr="00FF00E0" w:rsidRDefault="001A61B4" w:rsidP="00D4107B">
            <w:pPr>
              <w:rPr>
                <w:rFonts w:ascii="Times New Roman" w:hAnsi="Times New Roman" w:cs="Times New Roman"/>
              </w:rPr>
            </w:pPr>
            <w:r w:rsidRPr="00FF00E0">
              <w:rPr>
                <w:rFonts w:ascii="Times New Roman" w:hAnsi="Times New Roman" w:cs="Times New Roman"/>
              </w:rPr>
              <w:t>Improve the Airport Construction and Development Program performance at public-use airports by continually enhancing the safety of operations and infrastructure development through airport sponsor performance evaluations and technical assistance service engagements.</w:t>
            </w:r>
          </w:p>
        </w:tc>
        <w:tc>
          <w:tcPr>
            <w:tcW w:w="1722" w:type="dxa"/>
          </w:tcPr>
          <w:p w:rsidR="001A61B4" w:rsidRPr="00FF00E0" w:rsidRDefault="001A61B4" w:rsidP="0070691D">
            <w:pPr>
              <w:rPr>
                <w:rFonts w:ascii="Times New Roman" w:hAnsi="Times New Roman" w:cs="Times New Roman"/>
              </w:rPr>
            </w:pPr>
            <w:r w:rsidRPr="00FF00E0">
              <w:rPr>
                <w:rFonts w:ascii="Times New Roman" w:hAnsi="Times New Roman" w:cs="Times New Roman"/>
              </w:rPr>
              <w:t>Percentage of Public-Use Airport Engagements</w:t>
            </w:r>
          </w:p>
        </w:tc>
        <w:tc>
          <w:tcPr>
            <w:tcW w:w="987" w:type="dxa"/>
          </w:tcPr>
          <w:p w:rsidR="001A61B4" w:rsidRPr="00FF00E0" w:rsidRDefault="00440A55" w:rsidP="0070691D">
            <w:pPr>
              <w:jc w:val="center"/>
              <w:rPr>
                <w:rFonts w:ascii="Times New Roman" w:hAnsi="Times New Roman" w:cs="Times New Roman"/>
              </w:rPr>
            </w:pPr>
            <w:r>
              <w:rPr>
                <w:rFonts w:ascii="Times New Roman" w:hAnsi="Times New Roman" w:cs="Times New Roman"/>
              </w:rPr>
              <w:t>75</w:t>
            </w:r>
            <w:r w:rsidR="001A61B4" w:rsidRPr="00FF00E0">
              <w:rPr>
                <w:rFonts w:ascii="Times New Roman" w:hAnsi="Times New Roman" w:cs="Times New Roman"/>
              </w:rPr>
              <w:t>%</w:t>
            </w:r>
          </w:p>
        </w:tc>
        <w:tc>
          <w:tcPr>
            <w:tcW w:w="1250" w:type="dxa"/>
          </w:tcPr>
          <w:p w:rsidR="001A61B4" w:rsidRPr="00FF00E0" w:rsidRDefault="00440A55" w:rsidP="0070691D">
            <w:pPr>
              <w:jc w:val="center"/>
              <w:rPr>
                <w:rFonts w:ascii="Times New Roman" w:hAnsi="Times New Roman" w:cs="Times New Roman"/>
              </w:rPr>
            </w:pPr>
            <w:r>
              <w:rPr>
                <w:rFonts w:ascii="Times New Roman" w:hAnsi="Times New Roman" w:cs="Times New Roman"/>
              </w:rPr>
              <w:t>100%</w:t>
            </w:r>
          </w:p>
        </w:tc>
        <w:tc>
          <w:tcPr>
            <w:tcW w:w="1070" w:type="dxa"/>
          </w:tcPr>
          <w:p w:rsidR="001A61B4" w:rsidRPr="001A61B4" w:rsidRDefault="001A61B4" w:rsidP="00DB65D2">
            <w:pPr>
              <w:jc w:val="center"/>
              <w:rPr>
                <w:rFonts w:ascii="Times New Roman" w:hAnsi="Times New Roman" w:cs="Times New Roman"/>
              </w:rPr>
            </w:pPr>
            <w:r w:rsidRPr="00FF00E0">
              <w:rPr>
                <w:rFonts w:ascii="Times New Roman" w:hAnsi="Times New Roman" w:cs="Times New Roman"/>
              </w:rPr>
              <w:t>100%</w:t>
            </w:r>
          </w:p>
        </w:tc>
      </w:tr>
    </w:tbl>
    <w:p w:rsidR="0070691D" w:rsidRDefault="0070691D" w:rsidP="0070691D"/>
    <w:p w:rsidR="003520ED" w:rsidRDefault="003520ED" w:rsidP="003520ED"/>
    <w:p w:rsidR="003520ED" w:rsidRDefault="003520ED" w:rsidP="003520ED">
      <w:pPr>
        <w:pStyle w:val="H4"/>
        <w:keepNext w:val="0"/>
        <w:tabs>
          <w:tab w:val="left" w:pos="540"/>
          <w:tab w:val="left" w:pos="720"/>
          <w:tab w:val="left" w:pos="1080"/>
          <w:tab w:val="left" w:pos="1440"/>
          <w:tab w:val="left" w:pos="1800"/>
          <w:tab w:val="left" w:pos="2160"/>
        </w:tabs>
        <w:spacing w:before="0" w:after="0"/>
        <w:ind w:left="540" w:hanging="540"/>
        <w:jc w:val="both"/>
        <w:outlineLvl w:val="9"/>
        <w:rPr>
          <w:b w:val="0"/>
          <w:bCs/>
        </w:rPr>
      </w:pPr>
      <w:r>
        <w:rPr>
          <w:sz w:val="28"/>
        </w:rPr>
        <w:lastRenderedPageBreak/>
        <w:t>III.</w:t>
      </w:r>
      <w:r>
        <w:rPr>
          <w:sz w:val="28"/>
        </w:rPr>
        <w:tab/>
        <w:t>What significant department management or operational problems or issues exist?</w:t>
      </w:r>
      <w:r>
        <w:t xml:space="preserve">  </w:t>
      </w:r>
      <w:r>
        <w:rPr>
          <w:sz w:val="28"/>
        </w:rPr>
        <w:t>What corrective actions (if any) do you recommend?</w:t>
      </w:r>
      <w:r>
        <w:rPr>
          <w:b w:val="0"/>
          <w:bCs/>
          <w:sz w:val="28"/>
        </w:rPr>
        <w:t xml:space="preserve">  </w:t>
      </w:r>
      <w:r>
        <w:t xml:space="preserve"> </w:t>
      </w:r>
    </w:p>
    <w:p w:rsidR="003520ED" w:rsidRDefault="003520ED" w:rsidP="003520ED">
      <w:pPr>
        <w:tabs>
          <w:tab w:val="left" w:pos="360"/>
          <w:tab w:val="left" w:pos="1080"/>
          <w:tab w:val="left" w:pos="1440"/>
          <w:tab w:val="left" w:pos="1800"/>
          <w:tab w:val="left" w:pos="2160"/>
        </w:tabs>
        <w:ind w:left="1440"/>
        <w:jc w:val="both"/>
      </w:pPr>
    </w:p>
    <w:p w:rsidR="003520ED" w:rsidRDefault="003520ED" w:rsidP="00524C1C">
      <w:pPr>
        <w:pStyle w:val="BodyTextIndent"/>
        <w:ind w:left="720"/>
        <w:jc w:val="both"/>
      </w:pPr>
      <w:r>
        <w:t>A.</w:t>
      </w:r>
      <w:r>
        <w:tab/>
        <w:t>Problem/Issue Description</w:t>
      </w:r>
    </w:p>
    <w:p w:rsidR="003520ED" w:rsidRDefault="003520ED" w:rsidP="00524C1C">
      <w:pPr>
        <w:numPr>
          <w:ilvl w:val="0"/>
          <w:numId w:val="1"/>
        </w:numPr>
        <w:tabs>
          <w:tab w:val="left" w:pos="360"/>
          <w:tab w:val="left" w:pos="720"/>
          <w:tab w:val="left" w:pos="1080"/>
          <w:tab w:val="left" w:pos="1440"/>
          <w:tab w:val="left" w:pos="1800"/>
          <w:tab w:val="left" w:pos="2160"/>
        </w:tabs>
        <w:jc w:val="both"/>
      </w:pPr>
      <w:r>
        <w:t xml:space="preserve">What is the nature of the problem or issue? </w:t>
      </w:r>
      <w:r w:rsidRPr="00B9365C">
        <w:rPr>
          <w:b/>
        </w:rPr>
        <w:t>See Below</w:t>
      </w:r>
    </w:p>
    <w:p w:rsidR="003520ED" w:rsidRDefault="003520ED" w:rsidP="00524C1C">
      <w:pPr>
        <w:numPr>
          <w:ilvl w:val="0"/>
          <w:numId w:val="1"/>
        </w:numPr>
        <w:tabs>
          <w:tab w:val="left" w:pos="360"/>
          <w:tab w:val="left" w:pos="720"/>
          <w:tab w:val="left" w:pos="1080"/>
          <w:tab w:val="left" w:pos="1800"/>
          <w:tab w:val="left" w:pos="2160"/>
        </w:tabs>
        <w:jc w:val="both"/>
      </w:pPr>
      <w:r>
        <w:t xml:space="preserve">Is the problem or issue affecting the progress of your strategic plan?  (See Section II above.) </w:t>
      </w:r>
      <w:r w:rsidRPr="00B9365C">
        <w:rPr>
          <w:b/>
        </w:rPr>
        <w:t>See Below</w:t>
      </w:r>
    </w:p>
    <w:p w:rsidR="003520ED" w:rsidRDefault="003520ED" w:rsidP="00524C1C">
      <w:pPr>
        <w:numPr>
          <w:ilvl w:val="0"/>
          <w:numId w:val="1"/>
        </w:numPr>
        <w:tabs>
          <w:tab w:val="left" w:pos="360"/>
          <w:tab w:val="left" w:pos="720"/>
          <w:tab w:val="left" w:pos="1080"/>
          <w:tab w:val="left" w:pos="1440"/>
          <w:tab w:val="left" w:pos="1800"/>
          <w:tab w:val="left" w:pos="2160"/>
        </w:tabs>
        <w:jc w:val="both"/>
      </w:pPr>
      <w:r>
        <w:t xml:space="preserve">What organizational unit in the department is experiencing the problem or issue? </w:t>
      </w:r>
      <w:r w:rsidRPr="00B9365C">
        <w:rPr>
          <w:b/>
        </w:rPr>
        <w:t>See Below</w:t>
      </w:r>
    </w:p>
    <w:p w:rsidR="003520ED" w:rsidRDefault="003520ED" w:rsidP="00524C1C">
      <w:pPr>
        <w:numPr>
          <w:ilvl w:val="0"/>
          <w:numId w:val="1"/>
        </w:numPr>
        <w:tabs>
          <w:tab w:val="left" w:pos="360"/>
          <w:tab w:val="left" w:pos="720"/>
          <w:tab w:val="left" w:pos="1080"/>
          <w:tab w:val="left" w:pos="1440"/>
          <w:tab w:val="left" w:pos="1800"/>
          <w:tab w:val="left" w:pos="2160"/>
        </w:tabs>
        <w:jc w:val="both"/>
      </w:pPr>
      <w:r>
        <w:t xml:space="preserve">Who else is affected by the problem?  (For example:  internal or external customers and other stakeholders.) </w:t>
      </w:r>
      <w:r w:rsidRPr="00B9365C">
        <w:rPr>
          <w:b/>
        </w:rPr>
        <w:t>See Below</w:t>
      </w:r>
    </w:p>
    <w:p w:rsidR="003520ED" w:rsidRDefault="003520ED" w:rsidP="00524C1C">
      <w:pPr>
        <w:numPr>
          <w:ilvl w:val="0"/>
          <w:numId w:val="1"/>
        </w:numPr>
        <w:tabs>
          <w:tab w:val="left" w:pos="360"/>
          <w:tab w:val="left" w:pos="720"/>
          <w:tab w:val="left" w:pos="1080"/>
          <w:tab w:val="left" w:pos="1440"/>
          <w:tab w:val="left" w:pos="1800"/>
          <w:tab w:val="left" w:pos="2160"/>
        </w:tabs>
        <w:jc w:val="both"/>
      </w:pPr>
      <w:r>
        <w:t xml:space="preserve">How long has the problem or issue existed? </w:t>
      </w:r>
      <w:r w:rsidRPr="00B9365C">
        <w:rPr>
          <w:b/>
        </w:rPr>
        <w:t>See Below</w:t>
      </w:r>
    </w:p>
    <w:p w:rsidR="003520ED" w:rsidRDefault="003520ED" w:rsidP="00524C1C">
      <w:pPr>
        <w:numPr>
          <w:ilvl w:val="0"/>
          <w:numId w:val="1"/>
        </w:numPr>
        <w:tabs>
          <w:tab w:val="left" w:pos="360"/>
          <w:tab w:val="left" w:pos="720"/>
          <w:tab w:val="left" w:pos="1080"/>
          <w:tab w:val="left" w:pos="1440"/>
          <w:tab w:val="left" w:pos="1800"/>
          <w:tab w:val="left" w:pos="2160"/>
        </w:tabs>
        <w:jc w:val="both"/>
      </w:pPr>
      <w:r>
        <w:t xml:space="preserve">What are the causes of the problem or issue?  How do you know? </w:t>
      </w:r>
      <w:r w:rsidRPr="00B9365C">
        <w:rPr>
          <w:b/>
        </w:rPr>
        <w:t>See Below</w:t>
      </w:r>
    </w:p>
    <w:p w:rsidR="003520ED" w:rsidRPr="00B9365C" w:rsidRDefault="003520ED" w:rsidP="00524C1C">
      <w:pPr>
        <w:numPr>
          <w:ilvl w:val="0"/>
          <w:numId w:val="1"/>
        </w:numPr>
        <w:tabs>
          <w:tab w:val="left" w:pos="360"/>
          <w:tab w:val="left" w:pos="720"/>
          <w:tab w:val="left" w:pos="1080"/>
          <w:tab w:val="left" w:pos="1440"/>
          <w:tab w:val="left" w:pos="1800"/>
          <w:tab w:val="left" w:pos="2160"/>
        </w:tabs>
        <w:jc w:val="both"/>
      </w:pPr>
      <w:r>
        <w:t xml:space="preserve">What are the consequences, including impacts on performance, of failure to resolve the problem or issue? </w:t>
      </w:r>
      <w:r w:rsidRPr="00B9365C">
        <w:rPr>
          <w:b/>
        </w:rPr>
        <w:t>See Below</w:t>
      </w:r>
    </w:p>
    <w:p w:rsidR="003520ED" w:rsidRDefault="003520ED" w:rsidP="00524C1C">
      <w:pPr>
        <w:tabs>
          <w:tab w:val="left" w:pos="360"/>
          <w:tab w:val="left" w:pos="720"/>
          <w:tab w:val="left" w:pos="1080"/>
          <w:tab w:val="left" w:pos="1800"/>
          <w:tab w:val="left" w:pos="2160"/>
        </w:tabs>
        <w:jc w:val="both"/>
        <w:rPr>
          <w:b/>
        </w:rPr>
      </w:pPr>
    </w:p>
    <w:p w:rsidR="00C86E02" w:rsidRPr="00C86E02" w:rsidRDefault="00C86E02" w:rsidP="00C86E02">
      <w:pPr>
        <w:tabs>
          <w:tab w:val="left" w:pos="360"/>
          <w:tab w:val="left" w:pos="720"/>
          <w:tab w:val="left" w:pos="1080"/>
          <w:tab w:val="left" w:pos="1800"/>
          <w:tab w:val="left" w:pos="2160"/>
        </w:tabs>
        <w:rPr>
          <w:b/>
        </w:rPr>
      </w:pPr>
      <w:r w:rsidRPr="00C86E02">
        <w:rPr>
          <w:b/>
        </w:rPr>
        <w:t xml:space="preserve">Flat Revenue Stream and Increased Costs </w:t>
      </w:r>
    </w:p>
    <w:p w:rsidR="00C86E02" w:rsidRPr="00C86E02" w:rsidRDefault="00C86E02" w:rsidP="00C86E02">
      <w:pPr>
        <w:tabs>
          <w:tab w:val="left" w:pos="360"/>
          <w:tab w:val="left" w:pos="720"/>
          <w:tab w:val="left" w:pos="1080"/>
          <w:tab w:val="left" w:pos="1800"/>
          <w:tab w:val="left" w:pos="2160"/>
        </w:tabs>
        <w:jc w:val="both"/>
      </w:pPr>
      <w:r w:rsidRPr="00C86E02">
        <w:t xml:space="preserve">The main source of revenue for DOTD is the excise tax on gasoline and diesel. This tax was implemented over 30 years ago and was not indexed for inflation.  The 16 cents tax on gasoline is worth less than 7 cents today accounting for inflation.  Meanwhile, the demand on the state’s transportation infrastructure has risen due to increased travel.  In addition to the 16 cents per gallon, an additional 4 cent tax was passed in 1989 to fund the TIMED program and is obligated to bonded debt service.  Over the next 25 years, approximately 1 to almost 2½ cents of the 16 cents will be used annually for debt service on the TIMED bonds.  In FY 23 $17 million of this revenue was required as supplemental funding for TIMED bonds; this amount is expected to rise to $32 million by FY 30 and $62 million by FY40. </w:t>
      </w:r>
    </w:p>
    <w:p w:rsidR="00C86E02" w:rsidRPr="00C86E02" w:rsidRDefault="00C86E02" w:rsidP="00C86E02">
      <w:pPr>
        <w:tabs>
          <w:tab w:val="left" w:pos="360"/>
          <w:tab w:val="left" w:pos="720"/>
          <w:tab w:val="left" w:pos="1080"/>
          <w:tab w:val="left" w:pos="1800"/>
          <w:tab w:val="left" w:pos="2160"/>
        </w:tabs>
        <w:jc w:val="both"/>
        <w:rPr>
          <w:b/>
          <w:bCs/>
        </w:rPr>
      </w:pPr>
    </w:p>
    <w:p w:rsidR="00C86E02" w:rsidRPr="00C86E02" w:rsidRDefault="00C86E02" w:rsidP="00C86E02">
      <w:pPr>
        <w:pStyle w:val="Default"/>
        <w:rPr>
          <w:b/>
          <w:bCs/>
        </w:rPr>
      </w:pPr>
      <w:r w:rsidRPr="00C86E02">
        <w:rPr>
          <w:b/>
          <w:bCs/>
        </w:rPr>
        <w:t xml:space="preserve">Unfunded Project Needs </w:t>
      </w:r>
    </w:p>
    <w:p w:rsidR="00C86E02" w:rsidRPr="00C86E02" w:rsidRDefault="00C86E02" w:rsidP="00C86E02">
      <w:pPr>
        <w:tabs>
          <w:tab w:val="left" w:pos="360"/>
          <w:tab w:val="left" w:pos="720"/>
          <w:tab w:val="left" w:pos="1080"/>
          <w:tab w:val="left" w:pos="1800"/>
          <w:tab w:val="left" w:pos="2160"/>
        </w:tabs>
        <w:jc w:val="both"/>
      </w:pPr>
      <w:r w:rsidRPr="00C86E02">
        <w:t xml:space="preserve">DOTD has received additional funds over the last </w:t>
      </w:r>
      <w:r w:rsidR="001855C0">
        <w:t>20</w:t>
      </w:r>
      <w:r w:rsidRPr="00C86E02">
        <w:t xml:space="preserve"> years: $1.85 billion from state surpluses (2006, 2007, 2008, 2009, 2019, 2020, 2021, 2022 and 2023); $445 million from the Federal Stimulus Program (2009); and a considerable amount of funding through the state capital outlay program.  Over the past twelve Federal Fiscal Years (FFY 11-FFY 23) DOTD has received $819 million in additional federal funds from the U.S. Department of Transportation, including $210 million in FFY 23 alone. These funds are distributed to states that are successful in obligating their full federal highway funding allotment during the federal fiscal year.  This extra funding was used to increase the level of projects in the state; however, due to ever-escalating needs to maintain the system, the overall funding need has increased from approximately $12.1 billion in </w:t>
      </w:r>
      <w:r w:rsidR="00185F26">
        <w:t>2011 to more than $18.8 billion</w:t>
      </w:r>
      <w:r w:rsidRPr="00C86E02">
        <w:t xml:space="preserve">. </w:t>
      </w:r>
      <w:r w:rsidR="00185F26">
        <w:t xml:space="preserve"> </w:t>
      </w:r>
      <w:r w:rsidRPr="00C86E02">
        <w:t>Over the past 6 years, FFY 17 – FFY 23, DOTD has applied for and received over $309 million in discretionary grants to fund specific projects and in FFY 21 an additional $174 million in COVID Relief (CRRSA) funds were allocated to DOTD. CRRSA funds can be used on, but not limited to, highways, bridges, and ferries to perform routine and preventive maintenance, rehabilitation, and overlays on new and existing roadway throughout the state. $563M in ARPA received in FY 22 and an additional amount of $332.8M received in FY 23. We received $195.8M in FY 23 for the BP Settlement/</w:t>
      </w:r>
      <w:proofErr w:type="spellStart"/>
      <w:r w:rsidRPr="00C86E02">
        <w:t>Paygo</w:t>
      </w:r>
      <w:proofErr w:type="spellEnd"/>
      <w:r w:rsidRPr="00C86E02">
        <w:t>.</w:t>
      </w:r>
    </w:p>
    <w:p w:rsidR="00C86E02" w:rsidRPr="00C86E02" w:rsidRDefault="00C86E02" w:rsidP="00C86E02">
      <w:pPr>
        <w:pStyle w:val="Default"/>
        <w:rPr>
          <w:b/>
          <w:bCs/>
        </w:rPr>
      </w:pPr>
    </w:p>
    <w:p w:rsidR="00C86E02" w:rsidRPr="00C86E02" w:rsidRDefault="00C86E02" w:rsidP="00C86E02">
      <w:pPr>
        <w:pStyle w:val="Default"/>
      </w:pPr>
    </w:p>
    <w:p w:rsidR="00C86E02" w:rsidRPr="00C86E02" w:rsidRDefault="00C86E02" w:rsidP="00C86E02">
      <w:pPr>
        <w:tabs>
          <w:tab w:val="left" w:pos="360"/>
          <w:tab w:val="left" w:pos="720"/>
          <w:tab w:val="left" w:pos="1080"/>
          <w:tab w:val="left" w:pos="1440"/>
          <w:tab w:val="left" w:pos="1800"/>
          <w:tab w:val="left" w:pos="2160"/>
        </w:tabs>
        <w:ind w:left="720"/>
        <w:jc w:val="both"/>
      </w:pPr>
      <w:r w:rsidRPr="00C86E02">
        <w:lastRenderedPageBreak/>
        <w:t>B.</w:t>
      </w:r>
      <w:r w:rsidRPr="00C86E02">
        <w:tab/>
        <w:t>Corrective Actions</w:t>
      </w:r>
    </w:p>
    <w:p w:rsidR="00C86E02" w:rsidRPr="00C86E02" w:rsidRDefault="00C86E02" w:rsidP="00C86E02">
      <w:pPr>
        <w:numPr>
          <w:ilvl w:val="0"/>
          <w:numId w:val="4"/>
        </w:numPr>
        <w:tabs>
          <w:tab w:val="left" w:pos="360"/>
          <w:tab w:val="left" w:pos="720"/>
          <w:tab w:val="left" w:pos="1080"/>
          <w:tab w:val="left" w:pos="1440"/>
          <w:tab w:val="left" w:pos="1800"/>
          <w:tab w:val="left" w:pos="2160"/>
        </w:tabs>
        <w:ind w:left="1440"/>
        <w:jc w:val="both"/>
      </w:pPr>
      <w:r w:rsidRPr="00C86E02">
        <w:t xml:space="preserve">Does the problem or issue identified above require a corrective action by your department?  </w:t>
      </w:r>
    </w:p>
    <w:p w:rsidR="00C86E02" w:rsidRPr="00C86E02" w:rsidRDefault="00C86E02" w:rsidP="00C86E02">
      <w:pPr>
        <w:tabs>
          <w:tab w:val="left" w:pos="360"/>
          <w:tab w:val="left" w:pos="720"/>
          <w:tab w:val="left" w:pos="1080"/>
          <w:tab w:val="left" w:pos="1440"/>
          <w:tab w:val="left" w:pos="1800"/>
        </w:tabs>
        <w:ind w:left="720"/>
        <w:jc w:val="both"/>
      </w:pPr>
    </w:p>
    <w:p w:rsidR="00C86E02" w:rsidRPr="00C86E02" w:rsidRDefault="00C86E02" w:rsidP="00C86E02">
      <w:pPr>
        <w:tabs>
          <w:tab w:val="left" w:pos="360"/>
          <w:tab w:val="left" w:pos="720"/>
          <w:tab w:val="left" w:pos="1080"/>
          <w:tab w:val="left" w:pos="1440"/>
          <w:tab w:val="left" w:pos="1800"/>
        </w:tabs>
        <w:ind w:left="1440"/>
        <w:jc w:val="both"/>
      </w:pPr>
      <w:r w:rsidRPr="00C86E02">
        <w:fldChar w:fldCharType="begin">
          <w:ffData>
            <w:name w:val="Check1"/>
            <w:enabled/>
            <w:calcOnExit w:val="0"/>
            <w:checkBox>
              <w:sizeAuto/>
              <w:default w:val="0"/>
            </w:checkBox>
          </w:ffData>
        </w:fldChar>
      </w:r>
      <w:r w:rsidRPr="00C86E02">
        <w:instrText xml:space="preserve"> FORMCHECKBOX </w:instrText>
      </w:r>
      <w:r w:rsidR="00B96DB3">
        <w:fldChar w:fldCharType="separate"/>
      </w:r>
      <w:r w:rsidRPr="00C86E02">
        <w:fldChar w:fldCharType="end"/>
      </w:r>
      <w:r w:rsidRPr="00C86E02">
        <w:tab/>
        <w:t>No.   If not, skip questions 2-5 below.</w:t>
      </w:r>
    </w:p>
    <w:p w:rsidR="00C86E02" w:rsidRPr="00C86E02" w:rsidRDefault="00C86E02" w:rsidP="00C86E02">
      <w:pPr>
        <w:tabs>
          <w:tab w:val="left" w:pos="360"/>
          <w:tab w:val="left" w:pos="720"/>
          <w:tab w:val="left" w:pos="1080"/>
          <w:tab w:val="left" w:pos="1440"/>
          <w:tab w:val="left" w:pos="1800"/>
        </w:tabs>
        <w:ind w:left="1440"/>
        <w:jc w:val="both"/>
      </w:pPr>
      <w:r w:rsidRPr="00C86E02">
        <w:fldChar w:fldCharType="begin">
          <w:ffData>
            <w:name w:val="Check2"/>
            <w:enabled/>
            <w:calcOnExit w:val="0"/>
            <w:checkBox>
              <w:sizeAuto/>
              <w:default w:val="1"/>
            </w:checkBox>
          </w:ffData>
        </w:fldChar>
      </w:r>
      <w:r w:rsidRPr="00C86E02">
        <w:instrText xml:space="preserve"> FORMCHECKBOX </w:instrText>
      </w:r>
      <w:r w:rsidR="00B96DB3">
        <w:fldChar w:fldCharType="separate"/>
      </w:r>
      <w:r w:rsidRPr="00C86E02">
        <w:fldChar w:fldCharType="end"/>
      </w:r>
      <w:r w:rsidRPr="00C86E02">
        <w:tab/>
        <w:t xml:space="preserve">Yes.  If so, complete questions 2-5 below.  </w:t>
      </w:r>
      <w:r w:rsidRPr="00C86E02">
        <w:rPr>
          <w:b/>
        </w:rPr>
        <w:t>See below</w:t>
      </w:r>
    </w:p>
    <w:p w:rsidR="00C86E02" w:rsidRPr="00C86E02" w:rsidRDefault="00C86E02" w:rsidP="00C86E02">
      <w:pPr>
        <w:tabs>
          <w:tab w:val="left" w:pos="360"/>
          <w:tab w:val="left" w:pos="720"/>
          <w:tab w:val="left" w:pos="1080"/>
          <w:tab w:val="left" w:pos="1440"/>
          <w:tab w:val="left" w:pos="1800"/>
        </w:tabs>
        <w:ind w:left="1440"/>
        <w:jc w:val="both"/>
      </w:pPr>
    </w:p>
    <w:p w:rsidR="00C86E02" w:rsidRPr="00C86E02" w:rsidRDefault="00C86E02" w:rsidP="00C86E02">
      <w:pPr>
        <w:numPr>
          <w:ilvl w:val="0"/>
          <w:numId w:val="4"/>
        </w:numPr>
        <w:tabs>
          <w:tab w:val="left" w:pos="360"/>
          <w:tab w:val="left" w:pos="720"/>
          <w:tab w:val="left" w:pos="1080"/>
          <w:tab w:val="left" w:pos="1440"/>
          <w:tab w:val="left" w:pos="1800"/>
          <w:tab w:val="left" w:pos="2160"/>
        </w:tabs>
        <w:ind w:left="1440"/>
        <w:jc w:val="both"/>
      </w:pPr>
      <w:r w:rsidRPr="00C86E02">
        <w:t xml:space="preserve">What corrective actions do you recommend to alleviate or resolve the problem or issue?  </w:t>
      </w:r>
      <w:r w:rsidRPr="00C86E02">
        <w:rPr>
          <w:b/>
        </w:rPr>
        <w:t>See below</w:t>
      </w:r>
    </w:p>
    <w:p w:rsidR="00C86E02" w:rsidRPr="00C86E02" w:rsidRDefault="00C86E02" w:rsidP="00C86E02">
      <w:pPr>
        <w:tabs>
          <w:tab w:val="left" w:pos="360"/>
          <w:tab w:val="left" w:pos="720"/>
          <w:tab w:val="left" w:pos="1080"/>
          <w:tab w:val="left" w:pos="1440"/>
          <w:tab w:val="left" w:pos="1800"/>
        </w:tabs>
        <w:ind w:left="720"/>
        <w:jc w:val="both"/>
      </w:pPr>
    </w:p>
    <w:p w:rsidR="00C86E02" w:rsidRPr="00C86E02" w:rsidRDefault="00C86E02" w:rsidP="00C86E02">
      <w:pPr>
        <w:numPr>
          <w:ilvl w:val="0"/>
          <w:numId w:val="4"/>
        </w:numPr>
        <w:tabs>
          <w:tab w:val="left" w:pos="360"/>
          <w:tab w:val="left" w:pos="720"/>
          <w:tab w:val="left" w:pos="1080"/>
          <w:tab w:val="left" w:pos="1440"/>
          <w:tab w:val="left" w:pos="1800"/>
          <w:tab w:val="left" w:pos="2160"/>
        </w:tabs>
        <w:ind w:left="1440"/>
        <w:jc w:val="both"/>
      </w:pPr>
      <w:r w:rsidRPr="00C86E02">
        <w:t xml:space="preserve">Has this recommendation been made in previous management and program analysis reports?  If so, for how long (how many annual reports)?  </w:t>
      </w:r>
      <w:r w:rsidRPr="00C86E02">
        <w:rPr>
          <w:b/>
        </w:rPr>
        <w:t>See below</w:t>
      </w:r>
    </w:p>
    <w:p w:rsidR="00C86E02" w:rsidRPr="00C86E02" w:rsidRDefault="00C86E02" w:rsidP="00C86E02">
      <w:pPr>
        <w:numPr>
          <w:ilvl w:val="0"/>
          <w:numId w:val="4"/>
        </w:numPr>
        <w:tabs>
          <w:tab w:val="left" w:pos="360"/>
          <w:tab w:val="left" w:pos="720"/>
          <w:tab w:val="left" w:pos="1080"/>
          <w:tab w:val="left" w:pos="1440"/>
          <w:tab w:val="left" w:pos="1800"/>
          <w:tab w:val="left" w:pos="2160"/>
        </w:tabs>
        <w:ind w:left="1440"/>
        <w:jc w:val="both"/>
      </w:pPr>
      <w:r w:rsidRPr="00C86E02">
        <w:t xml:space="preserve">Are corrective actions underway?  </w:t>
      </w:r>
      <w:r w:rsidRPr="00C86E02">
        <w:rPr>
          <w:b/>
        </w:rPr>
        <w:t>See below</w:t>
      </w:r>
    </w:p>
    <w:p w:rsidR="00C86E02" w:rsidRPr="00C86E02" w:rsidRDefault="00C86E02" w:rsidP="00C86E02">
      <w:pPr>
        <w:pStyle w:val="a"/>
        <w:numPr>
          <w:ilvl w:val="0"/>
          <w:numId w:val="4"/>
        </w:numPr>
        <w:tabs>
          <w:tab w:val="left" w:pos="360"/>
          <w:tab w:val="left" w:pos="720"/>
          <w:tab w:val="left" w:pos="1080"/>
          <w:tab w:val="left" w:pos="1440"/>
          <w:tab w:val="left" w:pos="1800"/>
          <w:tab w:val="left" w:pos="2160"/>
          <w:tab w:val="num" w:pos="2520"/>
        </w:tabs>
        <w:ind w:left="1440"/>
        <w:jc w:val="both"/>
      </w:pPr>
      <w:r w:rsidRPr="00C86E02">
        <w:t xml:space="preserve">Do corrective actions carry a cost?  </w:t>
      </w:r>
      <w:r w:rsidRPr="00C86E02">
        <w:rPr>
          <w:b/>
        </w:rPr>
        <w:t>See below</w:t>
      </w:r>
      <w:r w:rsidRPr="00C86E02">
        <w:t xml:space="preserve"> </w:t>
      </w:r>
    </w:p>
    <w:p w:rsidR="00C86E02" w:rsidRPr="00C86E02" w:rsidRDefault="00C86E02" w:rsidP="00C86E02">
      <w:pPr>
        <w:pStyle w:val="a"/>
        <w:tabs>
          <w:tab w:val="left" w:pos="360"/>
          <w:tab w:val="left" w:pos="720"/>
          <w:tab w:val="left" w:pos="1080"/>
          <w:tab w:val="left" w:pos="1440"/>
          <w:tab w:val="left" w:pos="1800"/>
        </w:tabs>
        <w:ind w:left="720" w:firstLine="0"/>
        <w:jc w:val="both"/>
      </w:pPr>
    </w:p>
    <w:p w:rsidR="00C86E02" w:rsidRPr="00C86E02" w:rsidRDefault="00C86E02" w:rsidP="00C86E02">
      <w:pPr>
        <w:tabs>
          <w:tab w:val="left" w:pos="360"/>
          <w:tab w:val="left" w:pos="720"/>
          <w:tab w:val="left" w:pos="1080"/>
          <w:tab w:val="left" w:pos="1440"/>
          <w:tab w:val="left" w:pos="1800"/>
        </w:tabs>
        <w:ind w:left="1440"/>
        <w:jc w:val="both"/>
      </w:pPr>
      <w:r w:rsidRPr="00C86E02">
        <w:fldChar w:fldCharType="begin">
          <w:ffData>
            <w:name w:val="Check3"/>
            <w:enabled/>
            <w:calcOnExit w:val="0"/>
            <w:checkBox>
              <w:sizeAuto/>
              <w:default w:val="0"/>
            </w:checkBox>
          </w:ffData>
        </w:fldChar>
      </w:r>
      <w:r w:rsidRPr="00C86E02">
        <w:instrText xml:space="preserve"> FORMCHECKBOX </w:instrText>
      </w:r>
      <w:r w:rsidR="00B96DB3">
        <w:fldChar w:fldCharType="separate"/>
      </w:r>
      <w:r w:rsidRPr="00C86E02">
        <w:fldChar w:fldCharType="end"/>
      </w:r>
      <w:r w:rsidRPr="00C86E02">
        <w:t xml:space="preserve">  No.  If not, please explain.</w:t>
      </w:r>
    </w:p>
    <w:p w:rsidR="00C86E02" w:rsidRPr="00C86E02" w:rsidRDefault="00C86E02" w:rsidP="00C86E02">
      <w:pPr>
        <w:pStyle w:val="a"/>
        <w:tabs>
          <w:tab w:val="left" w:pos="360"/>
          <w:tab w:val="left" w:pos="720"/>
          <w:tab w:val="left" w:pos="1080"/>
          <w:tab w:val="left" w:pos="1440"/>
          <w:tab w:val="left" w:pos="1800"/>
          <w:tab w:val="left" w:pos="2160"/>
        </w:tabs>
        <w:ind w:left="1800"/>
        <w:jc w:val="both"/>
      </w:pPr>
      <w:r w:rsidRPr="00C86E02">
        <w:fldChar w:fldCharType="begin">
          <w:ffData>
            <w:name w:val="Check4"/>
            <w:enabled/>
            <w:calcOnExit w:val="0"/>
            <w:checkBox>
              <w:sizeAuto/>
              <w:default w:val="1"/>
            </w:checkBox>
          </w:ffData>
        </w:fldChar>
      </w:r>
      <w:r w:rsidRPr="00C86E02">
        <w:instrText xml:space="preserve"> FORMCHECKBOX </w:instrText>
      </w:r>
      <w:r w:rsidR="00B96DB3">
        <w:fldChar w:fldCharType="separate"/>
      </w:r>
      <w:r w:rsidRPr="00C86E02">
        <w:fldChar w:fldCharType="end"/>
      </w:r>
      <w:r w:rsidRPr="00C86E02">
        <w:tab/>
        <w:t xml:space="preserve">Yes.  If so, what investment is required to resolve the problem or issue?  (For example, investment may include allocation of operating or capital resources—people, budget, physical plant and equipment, and supplies.)  </w:t>
      </w:r>
    </w:p>
    <w:p w:rsidR="00C86E02" w:rsidRPr="00C86E02" w:rsidRDefault="00C86E02" w:rsidP="00C86E02">
      <w:pPr>
        <w:pStyle w:val="Default"/>
        <w:jc w:val="both"/>
        <w:rPr>
          <w:b/>
        </w:rPr>
      </w:pPr>
    </w:p>
    <w:p w:rsidR="00C86E02" w:rsidRPr="00C86E02" w:rsidRDefault="00C86E02" w:rsidP="00C86E02">
      <w:pPr>
        <w:pStyle w:val="Default"/>
        <w:jc w:val="both"/>
        <w:rPr>
          <w:b/>
        </w:rPr>
      </w:pPr>
      <w:r w:rsidRPr="00C86E02">
        <w:rPr>
          <w:b/>
        </w:rPr>
        <w:t>Funding Initiatives</w:t>
      </w:r>
    </w:p>
    <w:p w:rsidR="00C86E02" w:rsidRPr="00C86E02" w:rsidRDefault="00C86E02" w:rsidP="00C86E02">
      <w:pPr>
        <w:pStyle w:val="Default"/>
        <w:jc w:val="both"/>
      </w:pPr>
      <w:r w:rsidRPr="00C86E02">
        <w:t>During the 2015 Regular Session, several instruments were passed that could potentially create additional revenues to be deposited into the Transportation Trust Fund–Regular (TTF) or to bring about a reallocation of TTF funds away from non-transportation related expenses.</w:t>
      </w:r>
    </w:p>
    <w:p w:rsidR="00C86E02" w:rsidRPr="00C86E02" w:rsidRDefault="00C86E02" w:rsidP="00C86E02">
      <w:pPr>
        <w:pStyle w:val="Default"/>
        <w:jc w:val="both"/>
      </w:pPr>
      <w:r w:rsidRPr="00C86E02">
        <w:t xml:space="preserve"> </w:t>
      </w:r>
    </w:p>
    <w:p w:rsidR="00C86E02" w:rsidRPr="00C86E02" w:rsidRDefault="00C86E02" w:rsidP="00C86E02">
      <w:pPr>
        <w:pStyle w:val="Default"/>
        <w:jc w:val="both"/>
      </w:pPr>
      <w:r w:rsidRPr="00C86E02">
        <w:t xml:space="preserve">Act 147 provided for </w:t>
      </w:r>
      <w:r w:rsidRPr="00C86E02">
        <w:rPr>
          <w:rFonts w:eastAsiaTheme="minorHAnsi"/>
        </w:rPr>
        <w:t>conversion of the taxation basis for certain special fuels.  T</w:t>
      </w:r>
      <w:r w:rsidRPr="00C86E02">
        <w:t>he collection method of the special fuels tax for motor vehicles that operate on state highways using liquefied natural gas, liquefied petroleum gas or compressed natural gas was changed from a decal to a per-gallon equivalent.  These vehicles previously paid either a flat fee or mileage-based fee, statutorily defined tax for special decals on an annual basis depending on the type and weight of the vehicle.  As the previous system largely relied on self-reporting, it likely resulted in less tax revenue collections than would occur under a system that collects taxes based on the actual volumes consumed.  Additionally, Act 147 reduced the discount for timely filing and remittance of motor fuels tax from 1.5% to 0.5% and reduced the allowable discount for fuel delivered to a purchaser from 1% to 0.33%.  These discount reductions resulted in a fuels tax revenue increase of approximately $6 million to the TTF that began in FY 16.</w:t>
      </w:r>
    </w:p>
    <w:p w:rsidR="00C86E02" w:rsidRPr="00C86E02" w:rsidRDefault="00C86E02" w:rsidP="00C86E02">
      <w:pPr>
        <w:pStyle w:val="Default"/>
        <w:jc w:val="both"/>
        <w:rPr>
          <w:iCs/>
        </w:rPr>
      </w:pPr>
      <w:r w:rsidRPr="00C86E02">
        <w:rPr>
          <w:iCs/>
        </w:rPr>
        <w:t xml:space="preserve"> </w:t>
      </w:r>
    </w:p>
    <w:p w:rsidR="00C86E02" w:rsidRPr="00C86E02" w:rsidRDefault="00C86E02" w:rsidP="00C86E02">
      <w:pPr>
        <w:pStyle w:val="Default"/>
        <w:jc w:val="both"/>
      </w:pPr>
      <w:r w:rsidRPr="00C86E02">
        <w:t xml:space="preserve">Act 380 placed into statute additional provisions regarding the 20% constitutionally allowable distribution of TTF dollars collectively for the Port Priority Program, the Parish Transportation Fund, the Statewide Flood Control Program and the Office of State Police (OSP) for traffic control purposes, specifically that such funds shall be limited to 20% of all monies deposited into the TTF, including but not limited to state generated tax monies, fees, penalties, and interest earnings. Historically, the only funds considered against the 20% cap were those generated specifically by state tax revenues.  Act 380 additionally restricts the appropriation of TTF to LSP by stipulating the maximum amounts that can be appropriated to $45 million in FY 16, $20 million in FY 17 and $10 million in FY 18 and thereafter.  It should be noted that as of FY 17, LSP no longer receives </w:t>
      </w:r>
      <w:r w:rsidRPr="00C86E02">
        <w:lastRenderedPageBreak/>
        <w:t xml:space="preserve">TTF. Act 720 of the 2018 Regular Session provided for a constitutional amendment that would strike the language allowing TTF to be spent on the Office of State Police.  Voters approved this amendment on November 6, 2018.  Ports received an additional investment of $20 million each fiscal year, and the Statewide Flood Control Program received an additional investment of $10 million in FY 19 and FY 20.  </w:t>
      </w:r>
    </w:p>
    <w:p w:rsidR="00C86E02" w:rsidRPr="00C86E02" w:rsidRDefault="00C86E02" w:rsidP="00C86E02">
      <w:pPr>
        <w:pStyle w:val="Default"/>
        <w:jc w:val="both"/>
        <w:rPr>
          <w:iCs/>
        </w:rPr>
      </w:pPr>
    </w:p>
    <w:p w:rsidR="00C86E02" w:rsidRPr="00C86E02" w:rsidRDefault="00C86E02" w:rsidP="00C86E02">
      <w:pPr>
        <w:pStyle w:val="Default"/>
        <w:jc w:val="both"/>
        <w:rPr>
          <w:b/>
          <w:iCs/>
        </w:rPr>
      </w:pPr>
      <w:r w:rsidRPr="00C86E02">
        <w:rPr>
          <w:iCs/>
        </w:rPr>
        <w:t xml:space="preserve">Acts 473 and 465 renamed the Budget Stabilization Fund to the Budget and Transportation Stabilization Trust Fund; provides for the deposit of excess mineral revenues into this fund and for the related distribution of revenues into sub-funds for Budget Stabilization and Transportation Stabilization with specified restrictions on the use of those funds.  These Acts required a Constitutional Amendment that </w:t>
      </w:r>
      <w:r w:rsidRPr="00C86E02">
        <w:rPr>
          <w:iCs/>
          <w:u w:val="single"/>
        </w:rPr>
        <w:t>was not</w:t>
      </w:r>
      <w:r w:rsidRPr="00C86E02">
        <w:rPr>
          <w:iCs/>
        </w:rPr>
        <w:t xml:space="preserve"> approved by Louisiana voters.</w:t>
      </w:r>
    </w:p>
    <w:p w:rsidR="00C86E02" w:rsidRPr="00C86E02" w:rsidRDefault="00C86E02" w:rsidP="00C86E02">
      <w:pPr>
        <w:pStyle w:val="Default"/>
        <w:jc w:val="both"/>
        <w:rPr>
          <w:iCs/>
        </w:rPr>
      </w:pPr>
    </w:p>
    <w:p w:rsidR="00C86E02" w:rsidRPr="00C86E02" w:rsidRDefault="00C86E02" w:rsidP="00C86E02">
      <w:pPr>
        <w:pStyle w:val="Default"/>
        <w:jc w:val="both"/>
      </w:pPr>
      <w:r w:rsidRPr="00C86E02">
        <w:t>Acts 257 and 275 were companion instruments to Acts 473 and 465 discussed above.  Act 257 increased the base amount of mineral revenues received by the state prior to the annual deposit into the Budget Stabilization Fund by $100 million.  Act 275 provided for an allocation to the TTF in an amount equal to the general fund revenues certified by the Revenue Estimating Conference as being attributable to the provisions in Act 257 up to $100 million.  As an offset, Act 275 repealed both the general fund trigger and the phase-in of depositing vehicle sales tax to TTF as previously established by Act 11 of 2008 2</w:t>
      </w:r>
      <w:r w:rsidRPr="00C86E02">
        <w:rPr>
          <w:vertAlign w:val="superscript"/>
        </w:rPr>
        <w:t>nd</w:t>
      </w:r>
      <w:r w:rsidRPr="00C86E02">
        <w:t xml:space="preserve"> Extraordinary Session. Act 275 provided for the utilization of the newly allocated funds as follows:</w:t>
      </w:r>
    </w:p>
    <w:p w:rsidR="00C86E02" w:rsidRPr="00C86E02" w:rsidRDefault="00C86E02" w:rsidP="00C86E02">
      <w:pPr>
        <w:pStyle w:val="Default"/>
        <w:numPr>
          <w:ilvl w:val="0"/>
          <w:numId w:val="18"/>
        </w:numPr>
        <w:jc w:val="both"/>
      </w:pPr>
      <w:r w:rsidRPr="00C86E02">
        <w:t>The first $70 million is to be deposited into the TTF for state highway pavement and bridge sustainability projects.</w:t>
      </w:r>
    </w:p>
    <w:p w:rsidR="00C86E02" w:rsidRPr="00C86E02" w:rsidRDefault="00C86E02" w:rsidP="00C86E02">
      <w:pPr>
        <w:pStyle w:val="Default"/>
        <w:numPr>
          <w:ilvl w:val="0"/>
          <w:numId w:val="18"/>
        </w:numPr>
        <w:jc w:val="both"/>
      </w:pPr>
      <w:r w:rsidRPr="00C86E02">
        <w:t xml:space="preserve">93% of the avails remaining after the first $70 million carve-out are to be sub-allocated as follows: </w:t>
      </w:r>
    </w:p>
    <w:p w:rsidR="00C86E02" w:rsidRPr="00C86E02" w:rsidRDefault="00C86E02" w:rsidP="00C86E02">
      <w:pPr>
        <w:pStyle w:val="Default"/>
        <w:numPr>
          <w:ilvl w:val="1"/>
          <w:numId w:val="18"/>
        </w:numPr>
        <w:jc w:val="both"/>
      </w:pPr>
      <w:r w:rsidRPr="00C86E02">
        <w:t>30% into the highway priority program for capacity projects.</w:t>
      </w:r>
    </w:p>
    <w:p w:rsidR="00C86E02" w:rsidRPr="00C86E02" w:rsidRDefault="00C86E02" w:rsidP="00C86E02">
      <w:pPr>
        <w:pStyle w:val="Default"/>
        <w:numPr>
          <w:ilvl w:val="1"/>
          <w:numId w:val="18"/>
        </w:numPr>
        <w:jc w:val="both"/>
      </w:pPr>
      <w:r w:rsidRPr="00C86E02">
        <w:t>25% for port construction and development priority program projects.</w:t>
      </w:r>
    </w:p>
    <w:p w:rsidR="00C86E02" w:rsidRPr="00C86E02" w:rsidRDefault="00C86E02" w:rsidP="00C86E02">
      <w:pPr>
        <w:pStyle w:val="Default"/>
        <w:numPr>
          <w:ilvl w:val="1"/>
          <w:numId w:val="18"/>
        </w:numPr>
        <w:jc w:val="both"/>
      </w:pPr>
      <w:r w:rsidRPr="00C86E02">
        <w:t>45% for state highway pavement and bridge sustainability.</w:t>
      </w:r>
    </w:p>
    <w:p w:rsidR="00C86E02" w:rsidRPr="00C86E02" w:rsidRDefault="00C86E02" w:rsidP="00C86E02">
      <w:pPr>
        <w:pStyle w:val="Default"/>
        <w:numPr>
          <w:ilvl w:val="1"/>
          <w:numId w:val="18"/>
        </w:numPr>
        <w:jc w:val="both"/>
      </w:pPr>
      <w:r w:rsidRPr="00C86E02">
        <w:t xml:space="preserve">The final 7% of the remaining avails after the first $70 million carve-out shall be deposited into the LA State Transportation Infrastructure Fund as per Act 431 of 2015. </w:t>
      </w:r>
    </w:p>
    <w:p w:rsidR="00C86E02" w:rsidRPr="00C86E02" w:rsidRDefault="00C86E02" w:rsidP="00C86E02">
      <w:pPr>
        <w:pStyle w:val="Default"/>
        <w:jc w:val="both"/>
      </w:pPr>
    </w:p>
    <w:p w:rsidR="00C86E02" w:rsidRPr="00C86E02" w:rsidRDefault="00C86E02" w:rsidP="00C86E02">
      <w:pPr>
        <w:tabs>
          <w:tab w:val="left" w:pos="360"/>
          <w:tab w:val="left" w:pos="720"/>
          <w:tab w:val="left" w:pos="1080"/>
          <w:tab w:val="left" w:pos="1440"/>
          <w:tab w:val="left" w:pos="1800"/>
        </w:tabs>
        <w:jc w:val="both"/>
      </w:pPr>
      <w:r w:rsidRPr="00C86E02">
        <w:t xml:space="preserve">Act 275 was projected to generate additional deposits into the TTF of $4.4 million in FY 18, $7.2 million in FY 19 and $9.3 million in FY 20 from excess mineral revenues in the Budget Stabilization Fund based on the estimates adopted by the Revenue Estimating Conference on May 14, 2015; however, these projected revenues have not materialized to date.  </w:t>
      </w:r>
    </w:p>
    <w:p w:rsidR="00C86E02" w:rsidRPr="00C86E02" w:rsidRDefault="00C86E02" w:rsidP="00C86E02">
      <w:pPr>
        <w:tabs>
          <w:tab w:val="left" w:pos="360"/>
          <w:tab w:val="left" w:pos="720"/>
          <w:tab w:val="left" w:pos="1080"/>
          <w:tab w:val="left" w:pos="1440"/>
          <w:tab w:val="left" w:pos="1800"/>
        </w:tabs>
        <w:jc w:val="both"/>
      </w:pPr>
    </w:p>
    <w:p w:rsidR="00C86E02" w:rsidRPr="00C86E02" w:rsidRDefault="00C86E02" w:rsidP="00C86E02">
      <w:pPr>
        <w:tabs>
          <w:tab w:val="left" w:pos="360"/>
          <w:tab w:val="left" w:pos="720"/>
          <w:tab w:val="left" w:pos="1080"/>
          <w:tab w:val="left" w:pos="1440"/>
          <w:tab w:val="left" w:pos="1800"/>
        </w:tabs>
        <w:jc w:val="both"/>
      </w:pPr>
      <w:r w:rsidRPr="00C86E02">
        <w:t>During the 2016 Regular Legislative Session, several policy decisions were made to improve Louisiana’s multimodal transportation system which included the following:</w:t>
      </w:r>
    </w:p>
    <w:p w:rsidR="00C86E02" w:rsidRPr="00C86E02" w:rsidRDefault="00C86E02" w:rsidP="00C86E02">
      <w:pPr>
        <w:pStyle w:val="ListParagraph"/>
        <w:numPr>
          <w:ilvl w:val="0"/>
          <w:numId w:val="23"/>
        </w:numPr>
        <w:tabs>
          <w:tab w:val="left" w:pos="360"/>
          <w:tab w:val="left" w:pos="720"/>
          <w:tab w:val="left" w:pos="1080"/>
          <w:tab w:val="left" w:pos="1440"/>
          <w:tab w:val="left" w:pos="1800"/>
        </w:tabs>
        <w:jc w:val="both"/>
      </w:pPr>
      <w:r w:rsidRPr="00C86E02">
        <w:t>Ending Louisiana State Police’s (LSP) reliance on the Transportation Trust Fund (TTF).</w:t>
      </w:r>
    </w:p>
    <w:p w:rsidR="00C86E02" w:rsidRPr="00C86E02" w:rsidRDefault="00C86E02" w:rsidP="00C86E02">
      <w:pPr>
        <w:pStyle w:val="ListParagraph"/>
        <w:numPr>
          <w:ilvl w:val="0"/>
          <w:numId w:val="26"/>
        </w:numPr>
        <w:tabs>
          <w:tab w:val="left" w:pos="360"/>
          <w:tab w:val="left" w:pos="720"/>
          <w:tab w:val="left" w:pos="1080"/>
          <w:tab w:val="left" w:pos="1440"/>
          <w:tab w:val="left" w:pos="1800"/>
        </w:tabs>
        <w:ind w:left="1080"/>
        <w:jc w:val="both"/>
      </w:pPr>
      <w:r w:rsidRPr="00C86E02">
        <w:t>Doubling the investment in the Port Priority Program.</w:t>
      </w:r>
    </w:p>
    <w:p w:rsidR="00C86E02" w:rsidRPr="00C86E02" w:rsidRDefault="00C86E02" w:rsidP="00C86E02">
      <w:pPr>
        <w:pStyle w:val="ListParagraph"/>
        <w:numPr>
          <w:ilvl w:val="0"/>
          <w:numId w:val="26"/>
        </w:numPr>
        <w:tabs>
          <w:tab w:val="left" w:pos="360"/>
          <w:tab w:val="left" w:pos="720"/>
          <w:tab w:val="left" w:pos="1080"/>
          <w:tab w:val="left" w:pos="1440"/>
          <w:tab w:val="left" w:pos="1800"/>
        </w:tabs>
        <w:ind w:left="1080"/>
        <w:jc w:val="both"/>
      </w:pPr>
      <w:r w:rsidRPr="00C86E02">
        <w:t>Prioritizing transportation projects in the capital outlay process.</w:t>
      </w:r>
    </w:p>
    <w:p w:rsidR="00C86E02" w:rsidRPr="00C86E02" w:rsidRDefault="00C86E02" w:rsidP="00C86E02">
      <w:pPr>
        <w:pStyle w:val="ListParagraph"/>
        <w:numPr>
          <w:ilvl w:val="0"/>
          <w:numId w:val="26"/>
        </w:numPr>
        <w:tabs>
          <w:tab w:val="left" w:pos="360"/>
          <w:tab w:val="left" w:pos="720"/>
          <w:tab w:val="left" w:pos="1080"/>
          <w:tab w:val="left" w:pos="1440"/>
          <w:tab w:val="left" w:pos="1800"/>
        </w:tabs>
        <w:ind w:left="1080"/>
        <w:jc w:val="both"/>
      </w:pPr>
      <w:r w:rsidRPr="00C86E02">
        <w:t>Enacting legislation to focus Public-Private-Partnership (P3) financing opportunities to critical needs.</w:t>
      </w:r>
    </w:p>
    <w:p w:rsidR="00C86E02" w:rsidRPr="00C86E02" w:rsidRDefault="00C86E02" w:rsidP="00C86E02">
      <w:pPr>
        <w:pStyle w:val="ListParagraph"/>
        <w:tabs>
          <w:tab w:val="left" w:pos="720"/>
          <w:tab w:val="left" w:pos="1080"/>
          <w:tab w:val="left" w:pos="1440"/>
          <w:tab w:val="left" w:pos="1800"/>
        </w:tabs>
        <w:jc w:val="both"/>
      </w:pPr>
    </w:p>
    <w:p w:rsidR="00C86E02" w:rsidRPr="00C86E02" w:rsidRDefault="00C86E02" w:rsidP="00C86E02">
      <w:pPr>
        <w:tabs>
          <w:tab w:val="left" w:pos="360"/>
          <w:tab w:val="left" w:pos="720"/>
          <w:tab w:val="left" w:pos="1080"/>
          <w:tab w:val="left" w:pos="1440"/>
          <w:tab w:val="left" w:pos="1800"/>
        </w:tabs>
        <w:jc w:val="both"/>
        <w:rPr>
          <w:b/>
        </w:rPr>
      </w:pPr>
      <w:r w:rsidRPr="00C86E02">
        <w:t xml:space="preserve">Following these actions, Executive Order JBE 2016-23 was issues on June 7, 2016, creating the </w:t>
      </w:r>
      <w:r w:rsidRPr="00C86E02">
        <w:lastRenderedPageBreak/>
        <w:t>Governor’s Task Force on Transportation Infrastructure Investment.  The 18-member task force of leaders from various sectors of the public and private sector were charged with researching, identifying and making specific actionable recommendations to maintain and finance the construction of project outlined in the Louisiana Statewide Transportation Plan.  This effort lead to HB 632 of the 2017 Regular Session proposing an additional tax on gasoline, diesel fuels, and special fuels.  The proposed law would have imposed an additional tax of $0.17 per net gallon on each type fuel.  HB 632 was adopted by the Committee on Ways and Means; however, HB 632 was never brought to a vote by the House of Representatives and failed to become law.</w:t>
      </w:r>
    </w:p>
    <w:p w:rsidR="00C86E02" w:rsidRPr="00C86E02" w:rsidRDefault="00C86E02" w:rsidP="00C86E02">
      <w:pPr>
        <w:pStyle w:val="ListParagraph"/>
        <w:tabs>
          <w:tab w:val="left" w:pos="360"/>
          <w:tab w:val="left" w:pos="720"/>
          <w:tab w:val="left" w:pos="1080"/>
          <w:tab w:val="left" w:pos="1440"/>
          <w:tab w:val="left" w:pos="1800"/>
        </w:tabs>
        <w:jc w:val="both"/>
        <w:rPr>
          <w:b/>
        </w:rPr>
      </w:pPr>
    </w:p>
    <w:p w:rsidR="00C86E02" w:rsidRPr="00C86E02" w:rsidRDefault="00C86E02" w:rsidP="00C86E02">
      <w:pPr>
        <w:tabs>
          <w:tab w:val="left" w:pos="360"/>
          <w:tab w:val="left" w:pos="720"/>
          <w:tab w:val="left" w:pos="1080"/>
          <w:tab w:val="left" w:pos="1440"/>
          <w:tab w:val="left" w:pos="1800"/>
        </w:tabs>
        <w:jc w:val="both"/>
      </w:pPr>
      <w:r w:rsidRPr="00C86E02">
        <w:t>During the 2019 Regular Legislative Session, HB 542 proposed an increase in the motor fuel tax, but the Committee on Ways and Means did not schedule a hearing for the proposal to be considered.</w:t>
      </w:r>
    </w:p>
    <w:p w:rsidR="00C86E02" w:rsidRPr="00C86E02" w:rsidRDefault="00C86E02" w:rsidP="00C86E02">
      <w:pPr>
        <w:pStyle w:val="ListParagraph"/>
        <w:tabs>
          <w:tab w:val="left" w:pos="360"/>
          <w:tab w:val="left" w:pos="720"/>
          <w:tab w:val="left" w:pos="1080"/>
          <w:tab w:val="left" w:pos="1440"/>
          <w:tab w:val="left" w:pos="1800"/>
        </w:tabs>
        <w:jc w:val="both"/>
      </w:pPr>
    </w:p>
    <w:p w:rsidR="00C86E02" w:rsidRPr="00C86E02" w:rsidRDefault="00C86E02" w:rsidP="00C86E02">
      <w:pPr>
        <w:tabs>
          <w:tab w:val="left" w:pos="360"/>
          <w:tab w:val="left" w:pos="1080"/>
          <w:tab w:val="left" w:pos="1440"/>
          <w:tab w:val="left" w:pos="1800"/>
        </w:tabs>
        <w:jc w:val="both"/>
      </w:pPr>
      <w:r w:rsidRPr="00C86E02">
        <w:rPr>
          <w:bCs/>
        </w:rPr>
        <w:t>During the 2019 Regular Legislative Session, Act 443 authorized funds not related to Coastal Restoration or Impacts totaling $692.9M over 13 years starting in FY2021 from the</w:t>
      </w:r>
      <w:r w:rsidRPr="00C86E02">
        <w:t xml:space="preserve"> BP settlement revenues to be applied to specified projects across the state. DOTD, through its innovative procurement section, has initiated use of the Federal Transportation Infrastructure Finance and Innovation Act (TIFIA) Program.  TIFIA provides loans to state government to finance transportation projects in an effort to advance projects that may otherwise be deferred because of funding delays. DOTD has closed TIFIA loans on Act 433 projects including LA 3241 (Segment 2 &amp; 3) and I-49S (Ambassador </w:t>
      </w:r>
      <w:proofErr w:type="spellStart"/>
      <w:r w:rsidRPr="00C86E02">
        <w:t>Caffery</w:t>
      </w:r>
      <w:proofErr w:type="spellEnd"/>
      <w:r w:rsidRPr="00C86E02">
        <w:t xml:space="preserve"> Interchange). TIFIA loans for the Cameron ferries, and the Bridge Program are scheduled to close in the 2</w:t>
      </w:r>
      <w:r w:rsidRPr="00C86E02">
        <w:rPr>
          <w:vertAlign w:val="superscript"/>
        </w:rPr>
        <w:t>nd</w:t>
      </w:r>
      <w:r w:rsidRPr="00C86E02">
        <w:t xml:space="preserve"> half of FY23.</w:t>
      </w:r>
    </w:p>
    <w:p w:rsidR="00C86E02" w:rsidRPr="00C86E02" w:rsidRDefault="00C86E02" w:rsidP="00C86E02">
      <w:pPr>
        <w:pStyle w:val="ListParagraph"/>
      </w:pPr>
    </w:p>
    <w:p w:rsidR="00C86E02" w:rsidRPr="00C86E02" w:rsidRDefault="00C86E02" w:rsidP="00C86E02">
      <w:pPr>
        <w:tabs>
          <w:tab w:val="left" w:pos="360"/>
          <w:tab w:val="left" w:pos="1080"/>
          <w:tab w:val="left" w:pos="1440"/>
          <w:tab w:val="left" w:pos="1800"/>
        </w:tabs>
        <w:jc w:val="both"/>
      </w:pPr>
      <w:r w:rsidRPr="00C86E02">
        <w:t xml:space="preserve">During the 2021 Regular Legislative Session, ACT 486 provided that beginning in FY 2024, 30% of the avails of taxes from the sale, use, or lease of motor vehicles be deposited into the Construction </w:t>
      </w:r>
      <w:proofErr w:type="spellStart"/>
      <w:r w:rsidRPr="00C86E02">
        <w:t>Subfund</w:t>
      </w:r>
      <w:proofErr w:type="spellEnd"/>
      <w:r w:rsidRPr="00C86E02">
        <w:t xml:space="preserve"> of the Transportation Trust Fund.  In FY 2025 and thereafter, 60% of the avails of the tax is to be deposited into the </w:t>
      </w:r>
      <w:proofErr w:type="spellStart"/>
      <w:r w:rsidRPr="00C86E02">
        <w:t>subf</w:t>
      </w:r>
      <w:r w:rsidR="002618E6">
        <w:t>und</w:t>
      </w:r>
      <w:proofErr w:type="spellEnd"/>
      <w:r w:rsidR="002618E6">
        <w:t>.  However, this bill also re</w:t>
      </w:r>
      <w:r w:rsidRPr="00C86E02">
        <w:t>pealed Act 275 and Act 257 enacted during the 2015 Regular Session and discussed above.</w:t>
      </w:r>
    </w:p>
    <w:p w:rsidR="00C86E02" w:rsidRPr="00C86E02" w:rsidRDefault="00C86E02" w:rsidP="00C86E02">
      <w:pPr>
        <w:tabs>
          <w:tab w:val="left" w:pos="360"/>
          <w:tab w:val="left" w:pos="1080"/>
          <w:tab w:val="left" w:pos="1440"/>
          <w:tab w:val="left" w:pos="1800"/>
        </w:tabs>
        <w:ind w:left="720"/>
        <w:jc w:val="both"/>
      </w:pPr>
      <w:r w:rsidRPr="00C86E02">
        <w:t>The new avails are to be sub-allocated as follows:</w:t>
      </w:r>
    </w:p>
    <w:p w:rsidR="00C86E02" w:rsidRPr="00C86E02" w:rsidRDefault="00C86E02" w:rsidP="00C86E02">
      <w:pPr>
        <w:pStyle w:val="ListParagraph"/>
        <w:numPr>
          <w:ilvl w:val="0"/>
          <w:numId w:val="28"/>
        </w:numPr>
        <w:tabs>
          <w:tab w:val="left" w:pos="360"/>
          <w:tab w:val="left" w:pos="1080"/>
          <w:tab w:val="left" w:pos="1440"/>
          <w:tab w:val="left" w:pos="1800"/>
        </w:tabs>
        <w:jc w:val="both"/>
      </w:pPr>
      <w:r w:rsidRPr="00C86E02">
        <w:t>Up to 70% for certain capital construction road and bridge projects</w:t>
      </w:r>
    </w:p>
    <w:p w:rsidR="00C86E02" w:rsidRPr="00C86E02" w:rsidRDefault="00C86E02" w:rsidP="00C86E02">
      <w:pPr>
        <w:pStyle w:val="ListParagraph"/>
        <w:numPr>
          <w:ilvl w:val="0"/>
          <w:numId w:val="28"/>
        </w:numPr>
        <w:tabs>
          <w:tab w:val="left" w:pos="360"/>
          <w:tab w:val="left" w:pos="1080"/>
          <w:tab w:val="left" w:pos="1440"/>
          <w:tab w:val="left" w:pos="1800"/>
        </w:tabs>
        <w:jc w:val="both"/>
      </w:pPr>
      <w:r w:rsidRPr="00C86E02">
        <w:t>Not less than 25% for state highway and bridge preservation projects included in the existing highway priority program</w:t>
      </w:r>
    </w:p>
    <w:p w:rsidR="00C86E02" w:rsidRPr="00C86E02" w:rsidRDefault="00C86E02" w:rsidP="002618E6">
      <w:pPr>
        <w:pStyle w:val="ListParagraph"/>
        <w:numPr>
          <w:ilvl w:val="1"/>
          <w:numId w:val="28"/>
        </w:numPr>
        <w:tabs>
          <w:tab w:val="left" w:pos="360"/>
          <w:tab w:val="left" w:pos="1080"/>
          <w:tab w:val="left" w:pos="1440"/>
          <w:tab w:val="left" w:pos="1800"/>
        </w:tabs>
        <w:jc w:val="both"/>
      </w:pPr>
      <w:r w:rsidRPr="00C86E02">
        <w:t xml:space="preserve">5% </w:t>
      </w:r>
      <w:r w:rsidR="002618E6">
        <w:t xml:space="preserve">(but no more than $10M) </w:t>
      </w:r>
      <w:r w:rsidRPr="00C86E02">
        <w:t>for projects authorized pursuant to the provisions of R.S. 48:224.1</w:t>
      </w:r>
    </w:p>
    <w:p w:rsidR="00C86E02" w:rsidRPr="00C86E02" w:rsidRDefault="00C86E02" w:rsidP="00C86E02">
      <w:pPr>
        <w:tabs>
          <w:tab w:val="left" w:pos="360"/>
          <w:tab w:val="left" w:pos="1080"/>
          <w:tab w:val="left" w:pos="1440"/>
          <w:tab w:val="left" w:pos="1800"/>
        </w:tabs>
        <w:jc w:val="both"/>
      </w:pPr>
    </w:p>
    <w:p w:rsidR="00C86E02" w:rsidRPr="00C86E02" w:rsidRDefault="00C86E02" w:rsidP="00C86E02">
      <w:pPr>
        <w:tabs>
          <w:tab w:val="left" w:pos="360"/>
          <w:tab w:val="left" w:pos="1080"/>
          <w:tab w:val="left" w:pos="1440"/>
          <w:tab w:val="left" w:pos="1800"/>
        </w:tabs>
        <w:jc w:val="both"/>
      </w:pPr>
      <w:r w:rsidRPr="00C86E02">
        <w:t xml:space="preserve">During the 2022 Regular Legislative Session, Act 578 provides an annual road usage fee not to exceed $110 per year on electric vehicles (EVs) and an annual road usage fee on hybrid vehicles not to exceed $60 per year.  Fees generated are to be deposited as follows: 70% of the proceeds be deposited into the Construction </w:t>
      </w:r>
      <w:proofErr w:type="spellStart"/>
      <w:r w:rsidRPr="00C86E02">
        <w:t>Subfund</w:t>
      </w:r>
      <w:proofErr w:type="spellEnd"/>
      <w:r w:rsidRPr="00C86E02">
        <w:t xml:space="preserve"> of the Transportation Trust Fund; 30% of the proceeds be deposited into the Parish Transportation Fund and distributed to local governments in accordance with the formula set forth in present law.</w:t>
      </w:r>
    </w:p>
    <w:p w:rsidR="00C86E02" w:rsidRPr="00C86E02" w:rsidRDefault="00C86E02" w:rsidP="00C86E02">
      <w:pPr>
        <w:tabs>
          <w:tab w:val="left" w:pos="360"/>
          <w:tab w:val="left" w:pos="1080"/>
          <w:tab w:val="left" w:pos="1440"/>
          <w:tab w:val="left" w:pos="1800"/>
        </w:tabs>
        <w:jc w:val="both"/>
      </w:pPr>
    </w:p>
    <w:p w:rsidR="00C86E02" w:rsidRPr="00C86E02" w:rsidRDefault="00C86E02" w:rsidP="00C86E02">
      <w:pPr>
        <w:tabs>
          <w:tab w:val="left" w:pos="360"/>
          <w:tab w:val="left" w:pos="1080"/>
          <w:tab w:val="left" w:pos="1440"/>
          <w:tab w:val="left" w:pos="1800"/>
        </w:tabs>
        <w:jc w:val="both"/>
      </w:pPr>
      <w:r w:rsidRPr="00C86E02">
        <w:t xml:space="preserve">During the 2022 Regular Legislative Session, Act 505 created the Megaprojects Leverage Fund and authorized taxes related to the vehicle sales tax to be deposited into the Megaprojects Leverage Fund (MPLF). Project included in the MPLF include, I-10 Calcasieu River Bridge and I-10 Improvements, I-49 South, Mississippi River at Baton Rouge and Connections, and I-19 North. </w:t>
      </w:r>
      <w:r w:rsidRPr="00C86E02">
        <w:lastRenderedPageBreak/>
        <w:t xml:space="preserve">Act 505 also amended Act 486 from 2021 Regular Legislative Session concerning the deposits from the avails of taxes from the sale, use or lease of motor vehicles.  It stated 75% of the avails, up to $160M per year, would be deposited into the MPLF with each project receiving 25% of the amount deposited. </w:t>
      </w:r>
    </w:p>
    <w:p w:rsidR="00C86E02" w:rsidRPr="00C86E02" w:rsidRDefault="00C86E02" w:rsidP="00C86E02">
      <w:pPr>
        <w:tabs>
          <w:tab w:val="left" w:pos="360"/>
          <w:tab w:val="left" w:pos="1080"/>
          <w:tab w:val="left" w:pos="1440"/>
          <w:tab w:val="left" w:pos="1800"/>
        </w:tabs>
        <w:jc w:val="both"/>
      </w:pPr>
    </w:p>
    <w:p w:rsidR="00C86E02" w:rsidRPr="00C86E02" w:rsidRDefault="00C86E02" w:rsidP="00C86E02">
      <w:pPr>
        <w:pStyle w:val="Default"/>
        <w:rPr>
          <w:b/>
        </w:rPr>
      </w:pPr>
      <w:r w:rsidRPr="00C86E02">
        <w:rPr>
          <w:b/>
        </w:rPr>
        <w:t>Cost Control and Efficiency Efforts</w:t>
      </w:r>
    </w:p>
    <w:p w:rsidR="00C86E02" w:rsidRPr="00C86E02" w:rsidRDefault="00C86E02" w:rsidP="00C86E02">
      <w:pPr>
        <w:pStyle w:val="Default"/>
        <w:numPr>
          <w:ilvl w:val="0"/>
          <w:numId w:val="33"/>
        </w:numPr>
        <w:jc w:val="both"/>
      </w:pPr>
      <w:r w:rsidRPr="00C86E02">
        <w:t>Reducing staff – Continued savings in Personal Services costs due to streamlining of authorized positions (T.O).  A total of 984 authorized T.O. positions have been eliminated since FY 04, reducing staff levels from 5,271 to 4,287 in FY 23.  This equates to a cumulative cost savings of more than $116.3 million.  The users of Louisiana’s transportation system benefit from this savings, as any savings realized are able to be reinvested into the system.  Staffing reductions were attributed to maximizing departmental and statewide efficiencies and consolidations.</w:t>
      </w:r>
    </w:p>
    <w:p w:rsidR="00C86E02" w:rsidRPr="00C86E02" w:rsidRDefault="00C86E02" w:rsidP="00C86E02">
      <w:pPr>
        <w:pStyle w:val="Default"/>
        <w:ind w:left="720"/>
        <w:jc w:val="both"/>
      </w:pPr>
    </w:p>
    <w:p w:rsidR="00C86E02" w:rsidRPr="00C86E02" w:rsidRDefault="00C86E02" w:rsidP="00C86E02">
      <w:pPr>
        <w:pStyle w:val="Default"/>
        <w:numPr>
          <w:ilvl w:val="0"/>
          <w:numId w:val="33"/>
        </w:numPr>
        <w:jc w:val="both"/>
      </w:pPr>
      <w:r w:rsidRPr="00C86E02">
        <w:t>Budget Strategies – Continued focus on maximizing the efficient use of the TTF-Regular in the operating budget.  Although TTF-Regular is used as the primary means of financing salary costs in the operating budget, overall salaries have only grown 94% since 1991.  DOTD has been able to minimize the impacts of a 115% rise in inflation (CPI) and a 344% increase in fixed personnel benefit cost (such as health care and retirement contributions) through the reduction of T.O. and operational efficiencies.  This is significant because DOTD is continuing to pay existing operating costs without State General Fund support.  The public benefits from DOTD’s efforts to stabilize the use of TTF-Regular in the operating budget, in that TTF dollars not used in the operating budget are available for use in the capital outlay budget.  Beginning in FY 11, DOTD implemented budget development guidelines designed to limit and stabilize the use of TTF in the operating budget in order to maximize TTF available for matching federal transportation funds in the capital outlay budget.  Various strategies have been utilized, including: federalizing eligible operating cost, absorbing annual inflationary cost, costing direct services to bond funded projects, identifying efficiencies in district offices, reducing costs associated with the equipment fleet, reducing facility related and vessel hull insurance costs, increasing the use of the self-funded Buy-Back program for heavy movable equipment, and outsourcing certain ferry operations.</w:t>
      </w:r>
    </w:p>
    <w:p w:rsidR="00C86E02" w:rsidRPr="00C86E02" w:rsidRDefault="00C86E02" w:rsidP="00C86E02">
      <w:pPr>
        <w:pStyle w:val="Default"/>
        <w:jc w:val="both"/>
      </w:pPr>
    </w:p>
    <w:p w:rsidR="00C86E02" w:rsidRPr="00C86E02" w:rsidRDefault="00C86E02" w:rsidP="00C86E02">
      <w:pPr>
        <w:pStyle w:val="Default"/>
        <w:jc w:val="both"/>
        <w:rPr>
          <w:b/>
        </w:rPr>
      </w:pPr>
      <w:r w:rsidRPr="00C86E02">
        <w:rPr>
          <w:b/>
        </w:rPr>
        <w:t>Procurement Strategies</w:t>
      </w:r>
    </w:p>
    <w:p w:rsidR="00C86E02" w:rsidRPr="00C86E02" w:rsidRDefault="00C86E02" w:rsidP="00C86E02">
      <w:pPr>
        <w:pStyle w:val="Default"/>
        <w:numPr>
          <w:ilvl w:val="0"/>
          <w:numId w:val="34"/>
        </w:numPr>
        <w:jc w:val="both"/>
      </w:pPr>
      <w:r w:rsidRPr="00C86E02">
        <w:t xml:space="preserve">Outsourcing – A significant amount of the work that is done in the 9 Districts such as mowing, litter pickup, guardrail repair, etc. is now being outsourced to local government or contractors. </w:t>
      </w:r>
    </w:p>
    <w:p w:rsidR="00C86E02" w:rsidRPr="00C86E02" w:rsidRDefault="00C86E02" w:rsidP="00C86E02">
      <w:pPr>
        <w:pStyle w:val="ListParagraph"/>
        <w:numPr>
          <w:ilvl w:val="0"/>
          <w:numId w:val="34"/>
        </w:numPr>
        <w:jc w:val="both"/>
        <w:rPr>
          <w:szCs w:val="24"/>
        </w:rPr>
      </w:pPr>
      <w:r w:rsidRPr="00C86E02">
        <w:rPr>
          <w:szCs w:val="24"/>
        </w:rPr>
        <w:t xml:space="preserve">Design-Build (DB) contracting method – This procurement method is based on the combination of designing and constructing a project from conception to completion.  Utilizing this method has proven to be more cost-effective, more time-efficient and produces a higher quality project than other methods. </w:t>
      </w:r>
    </w:p>
    <w:p w:rsidR="00C86E02" w:rsidRPr="00C86E02" w:rsidRDefault="00C86E02" w:rsidP="00C86E02">
      <w:pPr>
        <w:pStyle w:val="ListParagraph"/>
        <w:numPr>
          <w:ilvl w:val="0"/>
          <w:numId w:val="34"/>
        </w:numPr>
        <w:jc w:val="both"/>
        <w:rPr>
          <w:szCs w:val="24"/>
        </w:rPr>
      </w:pPr>
      <w:r w:rsidRPr="00C86E02">
        <w:rPr>
          <w:szCs w:val="24"/>
        </w:rPr>
        <w:t xml:space="preserve">Construction Management at Risk (CMAR) delivery method – This strategy involves working with a Construction Manager (CM) in the design development phase, allowing practical construction experience to be consider when designing the project.  Subsequently, the department obtains an independent cost estimate for the project and on that basis negotiates with the CM to deliver the project within a Guaranteed Maximum Price (GMP).  </w:t>
      </w:r>
      <w:r w:rsidRPr="00C86E02">
        <w:rPr>
          <w:szCs w:val="24"/>
        </w:rPr>
        <w:lastRenderedPageBreak/>
        <w:t>Any costs exceeding the GMP that are not agreed change orders are the financial liability of the CM.  During the 2015 legislative session, the Department supported a state law allowing the use of CMAR contracting and has worked to develop guidance and procedures for utilizing this method.</w:t>
      </w:r>
    </w:p>
    <w:p w:rsidR="00C86E02" w:rsidRPr="00C86E02" w:rsidRDefault="00C86E02" w:rsidP="00C86E02">
      <w:pPr>
        <w:pStyle w:val="NormalWeb"/>
        <w:numPr>
          <w:ilvl w:val="0"/>
          <w:numId w:val="34"/>
        </w:numPr>
        <w:rPr>
          <w:snapToGrid/>
        </w:rPr>
      </w:pPr>
      <w:r w:rsidRPr="00C86E02">
        <w:t xml:space="preserve">Public Private Partnership (P3) - In </w:t>
      </w:r>
      <w:r w:rsidRPr="00C86E02">
        <w:rPr>
          <w:bCs/>
        </w:rPr>
        <w:t xml:space="preserve">2006 Louisiana R.S. 48:2084 authorizes P3 projects, unsolicited and solicited, by the Louisiana Transportation Authority (LTA).  In </w:t>
      </w:r>
      <w:r w:rsidRPr="00C86E02">
        <w:rPr>
          <w:rStyle w:val="Strong"/>
        </w:rPr>
        <w:t xml:space="preserve">2016 Louisiana R.S. 48:250.4 authorized the Department of Transportation and Development (with the approval of the House and Senate Committees on Transportation, Highways, and Public Works) to solicit proposals for public-private partnership projects. </w:t>
      </w:r>
    </w:p>
    <w:p w:rsidR="00C86E02" w:rsidRPr="00C86E02" w:rsidRDefault="00C86E02" w:rsidP="00C86E02">
      <w:pPr>
        <w:pStyle w:val="ListParagraph"/>
        <w:numPr>
          <w:ilvl w:val="0"/>
          <w:numId w:val="25"/>
        </w:numPr>
        <w:textAlignment w:val="baseline"/>
        <w:rPr>
          <w:szCs w:val="24"/>
        </w:rPr>
      </w:pPr>
      <w:r w:rsidRPr="00C86E02">
        <w:rPr>
          <w:szCs w:val="24"/>
        </w:rPr>
        <w:t>25% of public-private partnership projects undertaken must be outside the boundaries of any metropolitan planning area.</w:t>
      </w:r>
    </w:p>
    <w:p w:rsidR="00C86E02" w:rsidRPr="00C86E02" w:rsidRDefault="00C86E02" w:rsidP="00C86E02">
      <w:pPr>
        <w:pStyle w:val="ListParagraph"/>
        <w:numPr>
          <w:ilvl w:val="0"/>
          <w:numId w:val="25"/>
        </w:numPr>
        <w:rPr>
          <w:szCs w:val="24"/>
        </w:rPr>
      </w:pPr>
      <w:r w:rsidRPr="00C86E02">
        <w:rPr>
          <w:szCs w:val="24"/>
        </w:rPr>
        <w:t xml:space="preserve">Unsolicited proposals must comply with the Statewide Transportation Plan Priority </w:t>
      </w:r>
      <w:proofErr w:type="gramStart"/>
      <w:r w:rsidRPr="00C86E02">
        <w:rPr>
          <w:szCs w:val="24"/>
        </w:rPr>
        <w:t>A</w:t>
      </w:r>
      <w:proofErr w:type="gramEnd"/>
      <w:r w:rsidRPr="00C86E02">
        <w:rPr>
          <w:szCs w:val="24"/>
        </w:rPr>
        <w:t xml:space="preserve"> &amp; B projects.</w:t>
      </w:r>
    </w:p>
    <w:p w:rsidR="00C86E02" w:rsidRPr="00C86E02" w:rsidRDefault="00C86E02" w:rsidP="00C86E02">
      <w:pPr>
        <w:pStyle w:val="ListParagraph"/>
        <w:numPr>
          <w:ilvl w:val="0"/>
          <w:numId w:val="25"/>
        </w:numPr>
        <w:textAlignment w:val="baseline"/>
        <w:rPr>
          <w:szCs w:val="24"/>
        </w:rPr>
      </w:pPr>
      <w:r w:rsidRPr="00C86E02">
        <w:rPr>
          <w:szCs w:val="24"/>
        </w:rPr>
        <w:t xml:space="preserve">In </w:t>
      </w:r>
      <w:r w:rsidRPr="00C86E02">
        <w:rPr>
          <w:rStyle w:val="Strong"/>
          <w:szCs w:val="24"/>
        </w:rPr>
        <w:t xml:space="preserve">2019 HB 567 enacted Louisiana R.S. 48:250.4.1 which extended the toll collection and enforcement authority to any state-owned facility.  </w:t>
      </w:r>
      <w:r w:rsidRPr="00C86E02">
        <w:rPr>
          <w:szCs w:val="24"/>
        </w:rPr>
        <w:t xml:space="preserve">This allowed DOTD, in conjunction with a private entity through a P3 agreement, to set forth policies and procedures for the collection of tolls, administrative fees, and late charges for any future state-owned toll facilities.  </w:t>
      </w:r>
      <w:r w:rsidRPr="00C86E02">
        <w:rPr>
          <w:rStyle w:val="Strong"/>
          <w:szCs w:val="24"/>
        </w:rPr>
        <w:t>Also in 2019 HB 348 re-enacted Louisiana R.S.48:2084.6(D) adding authorization for the comprehensive agreement to contain provisions for the public authority to retain liability for damages arising from personal injury or property damage to third parties occurring on an existing state-owned highway or transportation facility.</w:t>
      </w:r>
    </w:p>
    <w:p w:rsidR="00C86E02" w:rsidRPr="00C86E02" w:rsidRDefault="00C86E02" w:rsidP="00C86E02">
      <w:pPr>
        <w:pStyle w:val="ListParagraph"/>
        <w:numPr>
          <w:ilvl w:val="0"/>
          <w:numId w:val="25"/>
        </w:numPr>
        <w:textAlignment w:val="baseline"/>
        <w:rPr>
          <w:szCs w:val="24"/>
        </w:rPr>
      </w:pPr>
      <w:r w:rsidRPr="00C86E02">
        <w:rPr>
          <w:szCs w:val="24"/>
        </w:rPr>
        <w:t xml:space="preserve">On December 14, 2017, LA DOTD received approval from the necessary legislative committees to solicit the State's first P3 project proposals and enter into contracts for the Belle Chasse Bridge &amp; Tunnel Replacement project.  The Notice of Intent (NOI) for the project was published on February 20, 2018.  </w:t>
      </w:r>
    </w:p>
    <w:p w:rsidR="00F9138D" w:rsidRPr="00FF00E0" w:rsidRDefault="00F9138D" w:rsidP="004E643E">
      <w:pPr>
        <w:jc w:val="both"/>
        <w:rPr>
          <w:szCs w:val="24"/>
        </w:rPr>
      </w:pPr>
    </w:p>
    <w:p w:rsidR="001A405D" w:rsidRPr="00FF00E0" w:rsidRDefault="001A405D" w:rsidP="00537090">
      <w:pPr>
        <w:jc w:val="both"/>
        <w:rPr>
          <w:b/>
        </w:rPr>
      </w:pPr>
      <w:r w:rsidRPr="00FF00E0">
        <w:rPr>
          <w:b/>
        </w:rPr>
        <w:t xml:space="preserve">Ferry Operating Strategies </w:t>
      </w:r>
    </w:p>
    <w:p w:rsidR="00EC7AE3" w:rsidRPr="00160E5F" w:rsidRDefault="00EC7AE3" w:rsidP="00EC7AE3">
      <w:pPr>
        <w:pStyle w:val="Default"/>
        <w:numPr>
          <w:ilvl w:val="0"/>
          <w:numId w:val="21"/>
        </w:numPr>
        <w:jc w:val="both"/>
      </w:pPr>
      <w:r>
        <w:t>DOTD currently operates ferries at three (3) locations at Cameron, Duty, and Plaquemine.</w:t>
      </w:r>
      <w:r w:rsidRPr="00160E5F">
        <w:t xml:space="preserve"> </w:t>
      </w:r>
    </w:p>
    <w:p w:rsidR="00EC7AE3" w:rsidRDefault="00EC7AE3" w:rsidP="00EC7AE3">
      <w:pPr>
        <w:pStyle w:val="Default"/>
        <w:numPr>
          <w:ilvl w:val="0"/>
          <w:numId w:val="21"/>
        </w:numPr>
        <w:jc w:val="both"/>
        <w:rPr>
          <w:color w:val="auto"/>
        </w:rPr>
      </w:pPr>
      <w:r>
        <w:rPr>
          <w:color w:val="auto"/>
        </w:rPr>
        <w:t xml:space="preserve">Act 273 of 2013 authorized DOTD to enter into a cooperative agreement </w:t>
      </w:r>
      <w:r w:rsidRPr="00160E5F">
        <w:rPr>
          <w:color w:val="auto"/>
        </w:rPr>
        <w:t>with New Orleans Regional Transit Authority (NORTA) for ferry operations in New Orleans</w:t>
      </w:r>
      <w:r>
        <w:rPr>
          <w:color w:val="auto"/>
        </w:rPr>
        <w:t xml:space="preserve"> and to establish the New Orleans Ferry Fund to contribute to the ferry operating budget</w:t>
      </w:r>
      <w:r w:rsidRPr="00160E5F">
        <w:rPr>
          <w:color w:val="auto"/>
        </w:rPr>
        <w:t>. The agreement requires minimum service levels on the Chalmette/Lower Algiers line and affords NORTA the right, but not the obligation, to operate ferry service at either Canal Street/Algiers Point or Canal Street/Gretna. NORTA is currently operating service at only Chalmette/Lower Algiers and Canal Street/Algiers Point.</w:t>
      </w:r>
      <w:r>
        <w:rPr>
          <w:color w:val="auto"/>
        </w:rPr>
        <w:t xml:space="preserve"> </w:t>
      </w:r>
    </w:p>
    <w:p w:rsidR="00EC7AE3" w:rsidRDefault="00EC7AE3" w:rsidP="00EC7AE3">
      <w:pPr>
        <w:pStyle w:val="Default"/>
        <w:numPr>
          <w:ilvl w:val="0"/>
          <w:numId w:val="21"/>
        </w:numPr>
        <w:jc w:val="both"/>
        <w:rPr>
          <w:color w:val="auto"/>
        </w:rPr>
      </w:pPr>
      <w:r>
        <w:rPr>
          <w:color w:val="auto"/>
        </w:rPr>
        <w:t xml:space="preserve">The New Orleans Ferry Fund expired June 30, 2018 and was reenacted as Act 163 of 2019. </w:t>
      </w:r>
    </w:p>
    <w:p w:rsidR="00D56BBA" w:rsidRPr="00FF00E0" w:rsidRDefault="00D56BBA" w:rsidP="00D56BBA">
      <w:pPr>
        <w:pStyle w:val="Default"/>
        <w:ind w:left="1440"/>
        <w:jc w:val="both"/>
        <w:rPr>
          <w:color w:val="auto"/>
        </w:rPr>
      </w:pPr>
    </w:p>
    <w:p w:rsidR="00DE2036" w:rsidRDefault="00DE2036" w:rsidP="00537090">
      <w:pPr>
        <w:pStyle w:val="Default"/>
        <w:jc w:val="both"/>
        <w:rPr>
          <w:b/>
        </w:rPr>
      </w:pPr>
    </w:p>
    <w:p w:rsidR="00DE2036" w:rsidRDefault="00DE2036" w:rsidP="00537090">
      <w:pPr>
        <w:pStyle w:val="Default"/>
        <w:jc w:val="both"/>
        <w:rPr>
          <w:b/>
        </w:rPr>
      </w:pPr>
    </w:p>
    <w:p w:rsidR="005807CD" w:rsidRPr="00FF00E0" w:rsidRDefault="00316127" w:rsidP="00537090">
      <w:pPr>
        <w:pStyle w:val="Default"/>
        <w:jc w:val="both"/>
        <w:rPr>
          <w:b/>
        </w:rPr>
      </w:pPr>
      <w:r w:rsidRPr="00FF00E0">
        <w:rPr>
          <w:b/>
        </w:rPr>
        <w:t xml:space="preserve">Rightsizing the Highway System </w:t>
      </w:r>
    </w:p>
    <w:p w:rsidR="00316127" w:rsidRPr="00FF00E0" w:rsidRDefault="00316127" w:rsidP="00537090">
      <w:pPr>
        <w:pStyle w:val="Default"/>
        <w:jc w:val="both"/>
        <w:rPr>
          <w:b/>
          <w:color w:val="1F497D"/>
        </w:rPr>
      </w:pPr>
      <w:r w:rsidRPr="00FF00E0">
        <w:t xml:space="preserve">The Road Transfer Program has been established as the means to right size the State Highway System to a core network of 12,000 miles or less. When the program started the state owned 16,685 miles of road (27.31% of all roads in the state), and ranked 10th in percentage of state owned roads compared to other states. DOTD has identified approximately 5,000 miles of low volume, local roads on the state system to transfer to local government.  The Program provides for DOTD to repair the roads prior to transfer.  Additionally, the participating local governments will be credited for 40 years of routine and capital maintenance, which can be applied to any highway capital project(s).  The Program may be appealing to those parishes and municipalities that have the capacity for additional day-to-day road maintenance but lack the resources for capital </w:t>
      </w:r>
      <w:r w:rsidR="0001061E">
        <w:t>improvements.  Over the last eleven</w:t>
      </w:r>
      <w:r w:rsidRPr="00FF00E0">
        <w:t xml:space="preserve"> years beginning in 2012</w:t>
      </w:r>
      <w:r w:rsidR="0001061E">
        <w:t>, DOTD has transferred 229.01</w:t>
      </w:r>
      <w:r w:rsidRPr="00FF00E0">
        <w:t xml:space="preserve"> miles of state routes, with binding agreeme</w:t>
      </w:r>
      <w:r w:rsidR="0001061E">
        <w:t>nts to transfer a further 216.58</w:t>
      </w:r>
      <w:r w:rsidRPr="00FF00E0">
        <w:t xml:space="preserve"> miles once the conditions of the agr</w:t>
      </w:r>
      <w:r w:rsidR="0001061E">
        <w:t>eement have been met, and 39.82</w:t>
      </w:r>
      <w:r w:rsidRPr="00FF00E0">
        <w:t xml:space="preserve"> miles of inquiries but no signed agreement.</w:t>
      </w:r>
      <w:r w:rsidRPr="00FF00E0">
        <w:rPr>
          <w:b/>
        </w:rPr>
        <w:t xml:space="preserve"> </w:t>
      </w:r>
    </w:p>
    <w:p w:rsidR="003520ED" w:rsidRPr="00FF00E0" w:rsidRDefault="003520ED" w:rsidP="00524C1C">
      <w:pPr>
        <w:pStyle w:val="Default"/>
        <w:jc w:val="both"/>
      </w:pPr>
    </w:p>
    <w:p w:rsidR="005807CD" w:rsidRPr="00FF00E0" w:rsidRDefault="005807CD" w:rsidP="00537090">
      <w:pPr>
        <w:widowControl/>
        <w:snapToGrid w:val="0"/>
      </w:pPr>
      <w:r w:rsidRPr="00FF00E0">
        <w:rPr>
          <w:b/>
        </w:rPr>
        <w:t>Disposal of Excess Real E</w:t>
      </w:r>
      <w:r w:rsidR="001A405D" w:rsidRPr="00FF00E0">
        <w:rPr>
          <w:b/>
        </w:rPr>
        <w:t>state</w:t>
      </w:r>
      <w:r w:rsidR="001A405D" w:rsidRPr="00FF00E0">
        <w:t xml:space="preserve"> </w:t>
      </w:r>
    </w:p>
    <w:p w:rsidR="00B73971" w:rsidRPr="00FF00E0" w:rsidRDefault="00B73971" w:rsidP="00B73971">
      <w:pPr>
        <w:widowControl/>
        <w:snapToGrid w:val="0"/>
        <w:jc w:val="both"/>
      </w:pPr>
      <w:r w:rsidRPr="00FF00E0">
        <w:t>In FFY 2</w:t>
      </w:r>
      <w:r>
        <w:t>3</w:t>
      </w:r>
      <w:r w:rsidRPr="00FF00E0">
        <w:t>, (October 1, 202</w:t>
      </w:r>
      <w:r>
        <w:t>2</w:t>
      </w:r>
      <w:r w:rsidRPr="00FF00E0">
        <w:t xml:space="preserve"> thru September 30, 202</w:t>
      </w:r>
      <w:r>
        <w:t>3</w:t>
      </w:r>
      <w:r w:rsidRPr="00FF00E0">
        <w:t xml:space="preserve">), DOTD sold </w:t>
      </w:r>
      <w:r>
        <w:t>13</w:t>
      </w:r>
      <w:r w:rsidRPr="00FF00E0">
        <w:t xml:space="preserve"> excess properties by Act of Sale, transferred </w:t>
      </w:r>
      <w:r>
        <w:t>10</w:t>
      </w:r>
      <w:r w:rsidRPr="00FF00E0">
        <w:t xml:space="preserve"> road segments to various local gover</w:t>
      </w:r>
      <w:r>
        <w:t>ning authorities and abandoned 2</w:t>
      </w:r>
      <w:r w:rsidRPr="00FF00E0">
        <w:t xml:space="preserve"> right-of-way servitudes for a total of </w:t>
      </w:r>
      <w:r>
        <w:t>25</w:t>
      </w:r>
      <w:r w:rsidRPr="00FF00E0">
        <w:t xml:space="preserve"> disposals.  The sold excess properties returned $</w:t>
      </w:r>
      <w:r>
        <w:t>210,866.00</w:t>
      </w:r>
      <w:r w:rsidRPr="00FF00E0">
        <w:t xml:space="preserve"> to a mixture of state and federal funds.  The Office of State Lands (OSL) is still in possession of the Harvey PE Office and </w:t>
      </w:r>
      <w:proofErr w:type="spellStart"/>
      <w:r w:rsidRPr="00FF00E0">
        <w:t>Burtville</w:t>
      </w:r>
      <w:proofErr w:type="spellEnd"/>
      <w:r w:rsidRPr="00FF00E0">
        <w:t xml:space="preserve"> Maintenance Unit properties and they have not been approved for disposal. The Harvey PE Office site must be legally partitioned/surveyed and approved by the New Orleans Planning Commission before it can be taken before the Legislature to seek approval for disposal.  Of note, during this same time period, the Property Management Unit of DOTD researched and answered an average of </w:t>
      </w:r>
      <w:r>
        <w:t>6</w:t>
      </w:r>
      <w:r w:rsidRPr="00FF00E0">
        <w:t xml:space="preserve">0 Public Records Requests (PRR) </w:t>
      </w:r>
      <w:r>
        <w:t xml:space="preserve">per month </w:t>
      </w:r>
      <w:r w:rsidRPr="00FF00E0">
        <w:t>for right of way information.</w:t>
      </w:r>
    </w:p>
    <w:p w:rsidR="00D226E8" w:rsidRDefault="00D226E8" w:rsidP="00537090">
      <w:pPr>
        <w:widowControl/>
        <w:snapToGrid w:val="0"/>
        <w:rPr>
          <w:b/>
        </w:rPr>
      </w:pPr>
    </w:p>
    <w:p w:rsidR="000D2870" w:rsidRPr="00FF00E0" w:rsidRDefault="000D2870" w:rsidP="00537090">
      <w:pPr>
        <w:widowControl/>
        <w:snapToGrid w:val="0"/>
        <w:rPr>
          <w:b/>
        </w:rPr>
      </w:pPr>
      <w:r w:rsidRPr="00FF00E0">
        <w:rPr>
          <w:b/>
        </w:rPr>
        <w:t>Critical Projects Section</w:t>
      </w:r>
    </w:p>
    <w:p w:rsidR="000D2870" w:rsidRPr="00FF00E0" w:rsidRDefault="000D2870" w:rsidP="0093171B">
      <w:pPr>
        <w:widowControl/>
        <w:snapToGrid w:val="0"/>
        <w:jc w:val="both"/>
        <w:rPr>
          <w:snapToGrid/>
        </w:rPr>
      </w:pPr>
      <w:r w:rsidRPr="00FF00E0">
        <w:rPr>
          <w:snapToGrid/>
        </w:rPr>
        <w:t>DOTD Office of Engineering addressed shortcomings in project management identified in previous efficiency studies and created the Critical Projects Section.  This new section focuses on DOTDs most complex and sensitive projects and is staffed by the most elite of DOTDs project managers.  This new section not only puts a focus on the area of project management, but also creates a dedicated field with skill specific advancement opportunities for project managers within the agency.</w:t>
      </w:r>
    </w:p>
    <w:p w:rsidR="000D2870" w:rsidRPr="00537090" w:rsidRDefault="000D2870" w:rsidP="00537090">
      <w:pPr>
        <w:widowControl/>
        <w:snapToGrid w:val="0"/>
        <w:rPr>
          <w:snapToGrid/>
          <w:highlight w:val="yellow"/>
        </w:rPr>
      </w:pPr>
    </w:p>
    <w:p w:rsidR="003520ED" w:rsidRDefault="003520ED" w:rsidP="003520ED">
      <w:pPr>
        <w:pStyle w:val="Heading3"/>
        <w:tabs>
          <w:tab w:val="left" w:pos="540"/>
          <w:tab w:val="left" w:pos="720"/>
          <w:tab w:val="left" w:pos="1080"/>
          <w:tab w:val="left" w:pos="1440"/>
          <w:tab w:val="left" w:pos="1800"/>
          <w:tab w:val="left" w:pos="2160"/>
        </w:tabs>
        <w:ind w:left="540" w:hanging="540"/>
        <w:jc w:val="both"/>
        <w:rPr>
          <w:rFonts w:ascii="Times New Roman" w:hAnsi="Times New Roman"/>
          <w:color w:val="000000"/>
        </w:rPr>
      </w:pPr>
      <w:r>
        <w:rPr>
          <w:rFonts w:ascii="Times New Roman" w:hAnsi="Times New Roman"/>
          <w:b/>
          <w:bCs/>
          <w:color w:val="000000"/>
          <w:sz w:val="28"/>
        </w:rPr>
        <w:t>IV.</w:t>
      </w:r>
      <w:r>
        <w:rPr>
          <w:rFonts w:ascii="Times New Roman" w:hAnsi="Times New Roman"/>
          <w:b/>
          <w:bCs/>
          <w:color w:val="000000"/>
          <w:sz w:val="28"/>
        </w:rPr>
        <w:tab/>
        <w:t>How does your department identify, analyze, and resolve management issues and evaluate program efficiency and effectiveness?</w:t>
      </w:r>
    </w:p>
    <w:p w:rsidR="003520ED" w:rsidRDefault="003520ED" w:rsidP="003520ED">
      <w:pPr>
        <w:pStyle w:val="Heading3"/>
        <w:tabs>
          <w:tab w:val="left" w:pos="540"/>
          <w:tab w:val="left" w:pos="720"/>
          <w:tab w:val="left" w:pos="900"/>
          <w:tab w:val="left" w:pos="1080"/>
          <w:tab w:val="left" w:pos="1440"/>
          <w:tab w:val="left" w:pos="1800"/>
          <w:tab w:val="left" w:pos="2160"/>
        </w:tabs>
        <w:ind w:left="54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Check all that apply.  Add comments to explain each methodology utilized.</w:t>
      </w:r>
    </w:p>
    <w:p w:rsidR="003520ED" w:rsidRDefault="003520ED" w:rsidP="003520ED"/>
    <w:p w:rsidR="003520ED" w:rsidRDefault="003520ED" w:rsidP="003520ED">
      <w:pPr>
        <w:tabs>
          <w:tab w:val="left" w:pos="1080"/>
          <w:tab w:val="left" w:pos="1440"/>
          <w:tab w:val="left" w:pos="1620"/>
        </w:tabs>
        <w:ind w:left="1080"/>
      </w:pPr>
      <w:r>
        <w:fldChar w:fldCharType="begin">
          <w:ffData>
            <w:name w:val="Check11"/>
            <w:enabled/>
            <w:calcOnExit w:val="0"/>
            <w:checkBox>
              <w:sizeAuto/>
              <w:default w:val="1"/>
            </w:checkBox>
          </w:ffData>
        </w:fldChar>
      </w:r>
      <w:r>
        <w:instrText xml:space="preserve"> FORMCHECKBOX </w:instrText>
      </w:r>
      <w:r w:rsidR="00B96DB3">
        <w:fldChar w:fldCharType="separate"/>
      </w:r>
      <w:r>
        <w:fldChar w:fldCharType="end"/>
      </w:r>
      <w:r>
        <w:tab/>
      </w:r>
      <w:r>
        <w:tab/>
        <w:t xml:space="preserve">Internal audit – </w:t>
      </w:r>
      <w:r w:rsidRPr="00943C19">
        <w:rPr>
          <w:b/>
        </w:rPr>
        <w:t>See Section II.</w:t>
      </w:r>
      <w:r>
        <w:t xml:space="preserve"> </w:t>
      </w:r>
    </w:p>
    <w:p w:rsidR="003520ED" w:rsidRDefault="003520ED" w:rsidP="003520ED">
      <w:pPr>
        <w:tabs>
          <w:tab w:val="left" w:pos="1080"/>
          <w:tab w:val="left" w:pos="1620"/>
        </w:tabs>
        <w:ind w:left="1800" w:hanging="720"/>
      </w:pPr>
      <w:r>
        <w:fldChar w:fldCharType="begin">
          <w:ffData>
            <w:name w:val="Check12"/>
            <w:enabled/>
            <w:calcOnExit w:val="0"/>
            <w:checkBox>
              <w:sizeAuto/>
              <w:default w:val="1"/>
            </w:checkBox>
          </w:ffData>
        </w:fldChar>
      </w:r>
      <w:r>
        <w:instrText xml:space="preserve"> FORMCHECKBOX </w:instrText>
      </w:r>
      <w:r w:rsidR="00B96DB3">
        <w:fldChar w:fldCharType="separate"/>
      </w:r>
      <w:r>
        <w:fldChar w:fldCharType="end"/>
      </w:r>
      <w:r>
        <w:tab/>
        <w:t xml:space="preserve">External audits (Example:  audits by the Office of the Legislative Auditor) – </w:t>
      </w:r>
      <w:r w:rsidRPr="00AD68B6">
        <w:rPr>
          <w:b/>
        </w:rPr>
        <w:t>See Section II.</w:t>
      </w:r>
      <w:r>
        <w:t xml:space="preserve"> </w:t>
      </w:r>
      <w:r>
        <w:fldChar w:fldCharType="begin">
          <w:ffData>
            <w:name w:val="Check20"/>
            <w:enabled/>
            <w:calcOnExit w:val="0"/>
            <w:checkBox>
              <w:sizeAuto/>
              <w:default w:val="1"/>
            </w:checkBox>
          </w:ffData>
        </w:fldChar>
      </w:r>
      <w:r>
        <w:instrText xml:space="preserve"> FORMCHECKBOX </w:instrText>
      </w:r>
      <w:r w:rsidR="00B96DB3">
        <w:fldChar w:fldCharType="separate"/>
      </w:r>
      <w:r>
        <w:fldChar w:fldCharType="end"/>
      </w:r>
      <w:r>
        <w:tab/>
        <w:t xml:space="preserve">Policy, research, planning, and/or quality assurance functions in-house – </w:t>
      </w:r>
      <w:r w:rsidRPr="00AD68B6">
        <w:rPr>
          <w:b/>
        </w:rPr>
        <w:t>See Section II.</w:t>
      </w:r>
      <w:r>
        <w:t xml:space="preserve"> </w:t>
      </w:r>
      <w:r>
        <w:fldChar w:fldCharType="begin">
          <w:ffData>
            <w:name w:val="Check26"/>
            <w:enabled/>
            <w:calcOnExit w:val="0"/>
            <w:checkBox>
              <w:sizeAuto/>
              <w:default w:val="0"/>
            </w:checkBox>
          </w:ffData>
        </w:fldChar>
      </w:r>
      <w:r>
        <w:instrText xml:space="preserve"> FORMCHECKBOX </w:instrText>
      </w:r>
      <w:r w:rsidR="00B96DB3">
        <w:fldChar w:fldCharType="separate"/>
      </w:r>
      <w:r>
        <w:fldChar w:fldCharType="end"/>
      </w:r>
      <w:r>
        <w:tab/>
        <w:t xml:space="preserve">Policy, research, planning, and/or quality assurance functions by contract </w:t>
      </w:r>
    </w:p>
    <w:p w:rsidR="003520ED" w:rsidRDefault="001C6F08" w:rsidP="003520ED">
      <w:pPr>
        <w:tabs>
          <w:tab w:val="left" w:pos="1080"/>
          <w:tab w:val="left" w:pos="1620"/>
        </w:tabs>
        <w:ind w:left="1800" w:hanging="720"/>
      </w:pPr>
      <w:r>
        <w:lastRenderedPageBreak/>
        <w:fldChar w:fldCharType="begin">
          <w:ffData>
            <w:name w:val="Check15"/>
            <w:enabled/>
            <w:calcOnExit w:val="0"/>
            <w:checkBox>
              <w:sizeAuto/>
              <w:default w:val="0"/>
            </w:checkBox>
          </w:ffData>
        </w:fldChar>
      </w:r>
      <w:bookmarkStart w:id="1" w:name="Check15"/>
      <w:r>
        <w:instrText xml:space="preserve"> FORMCHECKBOX </w:instrText>
      </w:r>
      <w:r w:rsidR="00B96DB3">
        <w:fldChar w:fldCharType="separate"/>
      </w:r>
      <w:r>
        <w:fldChar w:fldCharType="end"/>
      </w:r>
      <w:bookmarkEnd w:id="1"/>
      <w:r w:rsidR="003520ED">
        <w:tab/>
        <w:t xml:space="preserve">Program evaluation by in-house staff </w:t>
      </w:r>
    </w:p>
    <w:p w:rsidR="003520ED" w:rsidRDefault="003520ED" w:rsidP="003520ED">
      <w:pPr>
        <w:tabs>
          <w:tab w:val="left" w:pos="1080"/>
          <w:tab w:val="left" w:pos="1620"/>
        </w:tabs>
        <w:ind w:left="1800" w:hanging="720"/>
      </w:pPr>
      <w:r>
        <w:fldChar w:fldCharType="begin">
          <w:ffData>
            <w:name w:val="Check16"/>
            <w:enabled/>
            <w:calcOnExit w:val="0"/>
            <w:checkBox>
              <w:sizeAuto/>
              <w:default w:val="0"/>
            </w:checkBox>
          </w:ffData>
        </w:fldChar>
      </w:r>
      <w:r>
        <w:instrText xml:space="preserve"> FORMCHECKBOX </w:instrText>
      </w:r>
      <w:r w:rsidR="00B96DB3">
        <w:fldChar w:fldCharType="separate"/>
      </w:r>
      <w:r>
        <w:fldChar w:fldCharType="end"/>
      </w:r>
      <w:r>
        <w:tab/>
        <w:t xml:space="preserve">Program evaluation by contract </w:t>
      </w:r>
    </w:p>
    <w:p w:rsidR="003520ED" w:rsidRDefault="003520ED" w:rsidP="003520ED">
      <w:pPr>
        <w:tabs>
          <w:tab w:val="left" w:pos="1080"/>
          <w:tab w:val="left" w:pos="1620"/>
        </w:tabs>
        <w:ind w:left="1800" w:hanging="720"/>
      </w:pPr>
      <w:r>
        <w:fldChar w:fldCharType="begin">
          <w:ffData>
            <w:name w:val="Check17"/>
            <w:enabled/>
            <w:calcOnExit w:val="0"/>
            <w:checkBox>
              <w:sizeAuto/>
              <w:default w:val="1"/>
            </w:checkBox>
          </w:ffData>
        </w:fldChar>
      </w:r>
      <w:r>
        <w:instrText xml:space="preserve"> FORMCHECKBOX </w:instrText>
      </w:r>
      <w:r w:rsidR="00B96DB3">
        <w:fldChar w:fldCharType="separate"/>
      </w:r>
      <w:r>
        <w:fldChar w:fldCharType="end"/>
      </w:r>
      <w:r>
        <w:tab/>
        <w:t xml:space="preserve">Performance Progress Reports (Louisiana Performance Accountability System) – </w:t>
      </w:r>
      <w:r w:rsidRPr="00AD68B6">
        <w:rPr>
          <w:b/>
        </w:rPr>
        <w:t>See Section II.</w:t>
      </w:r>
      <w:r>
        <w:t xml:space="preserve"> </w:t>
      </w:r>
      <w:r>
        <w:fldChar w:fldCharType="begin">
          <w:ffData>
            <w:name w:val="Check18"/>
            <w:enabled/>
            <w:calcOnExit w:val="0"/>
            <w:checkBox>
              <w:sizeAuto/>
              <w:default w:val="1"/>
            </w:checkBox>
          </w:ffData>
        </w:fldChar>
      </w:r>
      <w:r>
        <w:instrText xml:space="preserve"> FORMCHECKBOX </w:instrText>
      </w:r>
      <w:r w:rsidR="00B96DB3">
        <w:fldChar w:fldCharType="separate"/>
      </w:r>
      <w:r>
        <w:fldChar w:fldCharType="end"/>
      </w:r>
      <w:r>
        <w:tab/>
        <w:t xml:space="preserve">In-house performance accountability system or process – </w:t>
      </w:r>
      <w:r w:rsidRPr="00AD68B6">
        <w:rPr>
          <w:b/>
        </w:rPr>
        <w:t>See Section II.</w:t>
      </w:r>
    </w:p>
    <w:p w:rsidR="003520ED" w:rsidRDefault="003520ED" w:rsidP="003520ED">
      <w:pPr>
        <w:tabs>
          <w:tab w:val="left" w:pos="1080"/>
          <w:tab w:val="left" w:pos="1620"/>
        </w:tabs>
        <w:ind w:left="1800" w:hanging="720"/>
      </w:pPr>
      <w:r>
        <w:fldChar w:fldCharType="begin">
          <w:ffData>
            <w:name w:val="Check27"/>
            <w:enabled/>
            <w:calcOnExit w:val="0"/>
            <w:checkBox>
              <w:sizeAuto/>
              <w:default w:val="1"/>
            </w:checkBox>
          </w:ffData>
        </w:fldChar>
      </w:r>
      <w:r>
        <w:instrText xml:space="preserve"> FORMCHECKBOX </w:instrText>
      </w:r>
      <w:r w:rsidR="00B96DB3">
        <w:fldChar w:fldCharType="separate"/>
      </w:r>
      <w:r>
        <w:fldChar w:fldCharType="end"/>
      </w:r>
      <w:r>
        <w:tab/>
        <w:t xml:space="preserve">Benchmarking for Best Management Practices – </w:t>
      </w:r>
      <w:r w:rsidRPr="00AD68B6">
        <w:rPr>
          <w:b/>
        </w:rPr>
        <w:t>See Section II.</w:t>
      </w:r>
    </w:p>
    <w:p w:rsidR="003520ED" w:rsidRDefault="003520ED" w:rsidP="003520ED">
      <w:pPr>
        <w:tabs>
          <w:tab w:val="left" w:pos="1080"/>
          <w:tab w:val="left" w:pos="1620"/>
        </w:tabs>
        <w:ind w:left="1800" w:hanging="720"/>
      </w:pPr>
      <w:r>
        <w:fldChar w:fldCharType="begin">
          <w:ffData>
            <w:name w:val="Check21"/>
            <w:enabled/>
            <w:calcOnExit w:val="0"/>
            <w:checkBox>
              <w:sizeAuto/>
              <w:default w:val="0"/>
            </w:checkBox>
          </w:ffData>
        </w:fldChar>
      </w:r>
      <w:r>
        <w:instrText xml:space="preserve"> FORMCHECKBOX </w:instrText>
      </w:r>
      <w:r w:rsidR="00B96DB3">
        <w:fldChar w:fldCharType="separate"/>
      </w:r>
      <w:r>
        <w:fldChar w:fldCharType="end"/>
      </w:r>
      <w:r>
        <w:tab/>
        <w:t>Performance-based contracting (including contract monitoring)</w:t>
      </w:r>
    </w:p>
    <w:p w:rsidR="003520ED" w:rsidRDefault="003520ED" w:rsidP="003520ED">
      <w:pPr>
        <w:tabs>
          <w:tab w:val="left" w:pos="1080"/>
          <w:tab w:val="left" w:pos="1620"/>
        </w:tabs>
        <w:ind w:left="1800" w:hanging="720"/>
      </w:pPr>
      <w:r>
        <w:fldChar w:fldCharType="begin">
          <w:ffData>
            <w:name w:val="Check13"/>
            <w:enabled/>
            <w:calcOnExit w:val="0"/>
            <w:checkBox>
              <w:sizeAuto/>
              <w:default w:val="1"/>
            </w:checkBox>
          </w:ffData>
        </w:fldChar>
      </w:r>
      <w:r>
        <w:instrText xml:space="preserve"> FORMCHECKBOX </w:instrText>
      </w:r>
      <w:r w:rsidR="00B96DB3">
        <w:fldChar w:fldCharType="separate"/>
      </w:r>
      <w:r>
        <w:fldChar w:fldCharType="end"/>
      </w:r>
      <w:r>
        <w:tab/>
        <w:t xml:space="preserve">Peer review – </w:t>
      </w:r>
      <w:r w:rsidRPr="00AD68B6">
        <w:rPr>
          <w:b/>
        </w:rPr>
        <w:t>See Section II.</w:t>
      </w:r>
    </w:p>
    <w:p w:rsidR="003520ED" w:rsidRDefault="003520ED" w:rsidP="003520ED">
      <w:pPr>
        <w:tabs>
          <w:tab w:val="left" w:pos="1080"/>
          <w:tab w:val="left" w:pos="1620"/>
        </w:tabs>
        <w:ind w:left="1800" w:hanging="720"/>
      </w:pPr>
      <w:r>
        <w:fldChar w:fldCharType="begin">
          <w:ffData>
            <w:name w:val="Check14"/>
            <w:enabled/>
            <w:calcOnExit w:val="0"/>
            <w:checkBox>
              <w:sizeAuto/>
              <w:default w:val="1"/>
            </w:checkBox>
          </w:ffData>
        </w:fldChar>
      </w:r>
      <w:r>
        <w:instrText xml:space="preserve"> FORMCHECKBOX </w:instrText>
      </w:r>
      <w:r w:rsidR="00B96DB3">
        <w:fldChar w:fldCharType="separate"/>
      </w:r>
      <w:r>
        <w:fldChar w:fldCharType="end"/>
      </w:r>
      <w:r>
        <w:tab/>
        <w:t xml:space="preserve">Accreditation review – </w:t>
      </w:r>
      <w:r w:rsidRPr="00AD68B6">
        <w:rPr>
          <w:b/>
        </w:rPr>
        <w:t>See Section II.</w:t>
      </w:r>
    </w:p>
    <w:p w:rsidR="003520ED" w:rsidRDefault="003520ED" w:rsidP="003520ED">
      <w:pPr>
        <w:tabs>
          <w:tab w:val="left" w:pos="1080"/>
          <w:tab w:val="left" w:pos="1620"/>
        </w:tabs>
        <w:ind w:left="1800" w:hanging="720"/>
      </w:pPr>
      <w:r>
        <w:fldChar w:fldCharType="begin">
          <w:ffData>
            <w:name w:val="Check22"/>
            <w:enabled/>
            <w:calcOnExit w:val="0"/>
            <w:checkBox>
              <w:sizeAuto/>
              <w:default w:val="1"/>
            </w:checkBox>
          </w:ffData>
        </w:fldChar>
      </w:r>
      <w:r>
        <w:instrText xml:space="preserve"> FORMCHECKBOX </w:instrText>
      </w:r>
      <w:r w:rsidR="00B96DB3">
        <w:fldChar w:fldCharType="separate"/>
      </w:r>
      <w:r>
        <w:fldChar w:fldCharType="end"/>
      </w:r>
      <w:r>
        <w:tab/>
        <w:t xml:space="preserve">Customer/stakeholder feedback – </w:t>
      </w:r>
      <w:r w:rsidRPr="00AD68B6">
        <w:rPr>
          <w:b/>
        </w:rPr>
        <w:t>See Section II.</w:t>
      </w:r>
    </w:p>
    <w:p w:rsidR="003520ED" w:rsidRDefault="003520ED" w:rsidP="003520ED">
      <w:pPr>
        <w:tabs>
          <w:tab w:val="left" w:pos="1080"/>
          <w:tab w:val="left" w:pos="1620"/>
        </w:tabs>
        <w:ind w:left="1800" w:hanging="720"/>
      </w:pPr>
      <w:r>
        <w:fldChar w:fldCharType="begin">
          <w:ffData>
            <w:name w:val="Check19"/>
            <w:enabled/>
            <w:calcOnExit w:val="0"/>
            <w:checkBox>
              <w:sizeAuto/>
              <w:default w:val="0"/>
            </w:checkBox>
          </w:ffData>
        </w:fldChar>
      </w:r>
      <w:r>
        <w:instrText xml:space="preserve"> FORMCHECKBOX </w:instrText>
      </w:r>
      <w:r w:rsidR="00B96DB3">
        <w:fldChar w:fldCharType="separate"/>
      </w:r>
      <w:r>
        <w:fldChar w:fldCharType="end"/>
      </w:r>
      <w:r>
        <w:tab/>
        <w:t>Other (please specify):</w:t>
      </w:r>
    </w:p>
    <w:p w:rsidR="00F6046D" w:rsidRDefault="00F6046D" w:rsidP="00F6046D">
      <w:pPr>
        <w:tabs>
          <w:tab w:val="left" w:pos="1080"/>
          <w:tab w:val="left" w:pos="1620"/>
        </w:tabs>
      </w:pPr>
    </w:p>
    <w:p w:rsidR="00FE0BF8" w:rsidRPr="00FF00E0" w:rsidRDefault="00FE0BF8" w:rsidP="00FE0BF8">
      <w:pPr>
        <w:jc w:val="both"/>
        <w:rPr>
          <w:bCs/>
          <w:szCs w:val="24"/>
        </w:rPr>
      </w:pPr>
      <w:r w:rsidRPr="00FF00E0">
        <w:rPr>
          <w:bCs/>
          <w:szCs w:val="24"/>
        </w:rPr>
        <w:t xml:space="preserve">Evaluation of DOTD processes and the programs within DOTD have been accomplished using both external and internal resources.  The DOTD Audit and Quality Control Section received </w:t>
      </w:r>
      <w:r>
        <w:rPr>
          <w:bCs/>
          <w:szCs w:val="24"/>
        </w:rPr>
        <w:t>658</w:t>
      </w:r>
      <w:r w:rsidRPr="00FF00E0">
        <w:rPr>
          <w:bCs/>
          <w:szCs w:val="24"/>
        </w:rPr>
        <w:t xml:space="preserve"> audit requests during the year, completing </w:t>
      </w:r>
      <w:r w:rsidRPr="00773080">
        <w:rPr>
          <w:bCs/>
          <w:szCs w:val="24"/>
        </w:rPr>
        <w:t>407, citing $1,036,643.68 in</w:t>
      </w:r>
      <w:r w:rsidRPr="00FF00E0">
        <w:rPr>
          <w:bCs/>
          <w:szCs w:val="24"/>
        </w:rPr>
        <w:t xml:space="preserve"> unallowable expenses and inventory variances.  </w:t>
      </w:r>
    </w:p>
    <w:p w:rsidR="00FE0BF8" w:rsidRPr="00FF00E0" w:rsidRDefault="00FE0BF8" w:rsidP="00FE0BF8">
      <w:pPr>
        <w:jc w:val="both"/>
        <w:rPr>
          <w:bCs/>
          <w:szCs w:val="24"/>
        </w:rPr>
      </w:pPr>
    </w:p>
    <w:p w:rsidR="00FE0BF8" w:rsidRPr="00FF00E0" w:rsidRDefault="00FE0BF8" w:rsidP="00FE0BF8">
      <w:pPr>
        <w:jc w:val="both"/>
        <w:rPr>
          <w:bCs/>
          <w:szCs w:val="24"/>
        </w:rPr>
      </w:pPr>
      <w:r w:rsidRPr="00FF00E0">
        <w:rPr>
          <w:bCs/>
          <w:szCs w:val="24"/>
        </w:rPr>
        <w:t>In addition to the audits conducted by the DOTD Audit and Quality Control Section and the Legislative Auditor, management has required special “audits” or process reviews in several areas of the Department.  These reviews have been accomplished by the DOTD Quality and Continuous Improvement Program through the development of the “as-is” and the “to-be” for the business process being reviewed.</w:t>
      </w:r>
    </w:p>
    <w:p w:rsidR="00FE0BF8" w:rsidRPr="00FF00E0" w:rsidRDefault="00FE0BF8" w:rsidP="00FE0BF8">
      <w:pPr>
        <w:jc w:val="both"/>
        <w:rPr>
          <w:bCs/>
          <w:szCs w:val="24"/>
        </w:rPr>
      </w:pPr>
      <w:r w:rsidRPr="00FF00E0">
        <w:rPr>
          <w:bCs/>
          <w:szCs w:val="24"/>
        </w:rPr>
        <w:t xml:space="preserve"> </w:t>
      </w:r>
    </w:p>
    <w:p w:rsidR="00FE0BF8" w:rsidRPr="00FF00E0" w:rsidRDefault="00FE0BF8" w:rsidP="00FE0BF8">
      <w:pPr>
        <w:jc w:val="both"/>
        <w:rPr>
          <w:bCs/>
          <w:szCs w:val="24"/>
        </w:rPr>
      </w:pPr>
      <w:r w:rsidRPr="00FF00E0">
        <w:rPr>
          <w:bCs/>
          <w:szCs w:val="24"/>
        </w:rPr>
        <w:t>In regards to design and construction contract performance audits, DOTD has internal systems in place that require contractors and consultants to deliver quality work on time and on budget. Upon completion of contracts, evaluations are completed by DOTD personnel and, if necessary, appropriate action is taken.</w:t>
      </w:r>
    </w:p>
    <w:p w:rsidR="00FE0BF8" w:rsidRPr="00FF00E0" w:rsidRDefault="00FE0BF8" w:rsidP="00FE0BF8">
      <w:pPr>
        <w:jc w:val="both"/>
        <w:rPr>
          <w:bCs/>
          <w:szCs w:val="24"/>
        </w:rPr>
      </w:pPr>
    </w:p>
    <w:p w:rsidR="00FE0BF8" w:rsidRPr="00FF00E0" w:rsidRDefault="00FE0BF8" w:rsidP="00FE0BF8">
      <w:pPr>
        <w:jc w:val="both"/>
        <w:rPr>
          <w:bCs/>
          <w:szCs w:val="24"/>
        </w:rPr>
      </w:pPr>
      <w:r w:rsidRPr="00FF00E0">
        <w:rPr>
          <w:bCs/>
          <w:szCs w:val="24"/>
        </w:rPr>
        <w:t xml:space="preserve">The Federal Highway Administration (FHWA) regularly reviews the operations of the Department and if issues develop, officials of the FHWA and DOTD meet to discuss and resolve them. </w:t>
      </w:r>
    </w:p>
    <w:p w:rsidR="00FE0BF8" w:rsidRPr="00FF00E0" w:rsidRDefault="00FE0BF8" w:rsidP="00FE0BF8">
      <w:pPr>
        <w:pStyle w:val="EndnoteText"/>
        <w:tabs>
          <w:tab w:val="left" w:pos="360"/>
          <w:tab w:val="left" w:pos="720"/>
          <w:tab w:val="left" w:pos="1080"/>
          <w:tab w:val="left" w:pos="1440"/>
          <w:tab w:val="left" w:pos="1800"/>
          <w:tab w:val="left" w:pos="2160"/>
        </w:tabs>
        <w:rPr>
          <w:b/>
          <w:bCs/>
          <w:szCs w:val="24"/>
        </w:rPr>
      </w:pPr>
    </w:p>
    <w:p w:rsidR="00FE0BF8" w:rsidRPr="00FF00E0" w:rsidRDefault="00FE0BF8" w:rsidP="00FE0BF8">
      <w:pPr>
        <w:pStyle w:val="EndnoteText"/>
        <w:tabs>
          <w:tab w:val="left" w:pos="360"/>
          <w:tab w:val="left" w:pos="720"/>
          <w:tab w:val="left" w:pos="1080"/>
          <w:tab w:val="left" w:pos="1440"/>
          <w:tab w:val="left" w:pos="1800"/>
          <w:tab w:val="left" w:pos="2160"/>
        </w:tabs>
        <w:rPr>
          <w:b/>
          <w:bCs/>
          <w:szCs w:val="24"/>
        </w:rPr>
      </w:pPr>
      <w:r w:rsidRPr="00FF00E0">
        <w:rPr>
          <w:b/>
          <w:bCs/>
          <w:szCs w:val="24"/>
        </w:rPr>
        <w:t xml:space="preserve">Internal Audit Section </w:t>
      </w:r>
    </w:p>
    <w:p w:rsidR="00FE0BF8" w:rsidRPr="00FF00E0" w:rsidRDefault="00FE0BF8" w:rsidP="00FE0BF8">
      <w:pPr>
        <w:pStyle w:val="EndnoteText"/>
        <w:tabs>
          <w:tab w:val="left" w:pos="360"/>
          <w:tab w:val="left" w:pos="720"/>
          <w:tab w:val="left" w:pos="1080"/>
          <w:tab w:val="left" w:pos="1440"/>
          <w:tab w:val="left" w:pos="1800"/>
          <w:tab w:val="left" w:pos="2160"/>
        </w:tabs>
        <w:jc w:val="both"/>
        <w:rPr>
          <w:bCs/>
          <w:szCs w:val="24"/>
        </w:rPr>
      </w:pPr>
      <w:r w:rsidRPr="00FF00E0">
        <w:rPr>
          <w:bCs/>
          <w:szCs w:val="24"/>
        </w:rPr>
        <w:t xml:space="preserve">The DOTD Internal Audit Section is a separate unit, independent of Audit and Quality Control Section, and chartered to issue reports directly to the Secretary. Currently, there is one established position, Internal Auditor. </w:t>
      </w:r>
    </w:p>
    <w:p w:rsidR="00FE0BF8" w:rsidRPr="00FF00E0" w:rsidRDefault="00FE0BF8" w:rsidP="00FE0BF8">
      <w:pPr>
        <w:pStyle w:val="EndnoteText"/>
        <w:tabs>
          <w:tab w:val="left" w:pos="360"/>
          <w:tab w:val="left" w:pos="720"/>
          <w:tab w:val="left" w:pos="1080"/>
          <w:tab w:val="left" w:pos="1440"/>
          <w:tab w:val="left" w:pos="1800"/>
          <w:tab w:val="left" w:pos="2160"/>
        </w:tabs>
        <w:jc w:val="both"/>
        <w:rPr>
          <w:b/>
          <w:bCs/>
          <w:szCs w:val="24"/>
        </w:rPr>
      </w:pPr>
    </w:p>
    <w:p w:rsidR="00FE0BF8" w:rsidRPr="00FF00E0" w:rsidRDefault="00FE0BF8" w:rsidP="00FE0BF8">
      <w:pPr>
        <w:pStyle w:val="EndnoteText"/>
        <w:tabs>
          <w:tab w:val="left" w:pos="360"/>
          <w:tab w:val="left" w:pos="720"/>
          <w:tab w:val="left" w:pos="1080"/>
          <w:tab w:val="left" w:pos="1440"/>
          <w:tab w:val="left" w:pos="1800"/>
          <w:tab w:val="left" w:pos="2160"/>
        </w:tabs>
        <w:jc w:val="both"/>
        <w:rPr>
          <w:bCs/>
          <w:szCs w:val="24"/>
        </w:rPr>
      </w:pPr>
      <w:r w:rsidRPr="00FF00E0">
        <w:rPr>
          <w:bCs/>
          <w:szCs w:val="24"/>
        </w:rPr>
        <w:t xml:space="preserve">The Internal Audit Section’s scope of work encompasses the following: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Reviewing operations and activities to ensure compliance with those statutes, regulations, policies and procedures that could have a significant impact on the Department’s operations.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Reviewing operations and programs to ascertain whether results are consistent with established objectives and goals and whether the operation and programs are being carried out as planned.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Reviewing the means of safeguarding assets and, as appropriate, verifying the existence of such assets.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Appraising the economy and efficiency with which resources are acquired and utilized.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lastRenderedPageBreak/>
        <w:t xml:space="preserve">Monitoring new and major changes to automated and other systems by documenting and reviewing the adequacy of internal controls in place when implemented.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Establishing audit goals by setting frequency and subject of audits based on Risk Assessment.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Applying work techniques required to accomplish audit objectives.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Obtaining an understanding of the program(s) to be audited. </w:t>
      </w:r>
    </w:p>
    <w:p w:rsidR="00FE0BF8" w:rsidRPr="00FF00E0" w:rsidRDefault="00FE0BF8" w:rsidP="00FE0BF8">
      <w:pPr>
        <w:pStyle w:val="EndnoteText"/>
        <w:numPr>
          <w:ilvl w:val="0"/>
          <w:numId w:val="24"/>
        </w:numPr>
        <w:tabs>
          <w:tab w:val="left" w:pos="360"/>
          <w:tab w:val="left" w:pos="720"/>
          <w:tab w:val="left" w:pos="1080"/>
          <w:tab w:val="left" w:pos="1440"/>
          <w:tab w:val="left" w:pos="1800"/>
          <w:tab w:val="left" w:pos="2160"/>
        </w:tabs>
        <w:jc w:val="both"/>
        <w:rPr>
          <w:bCs/>
          <w:szCs w:val="24"/>
        </w:rPr>
      </w:pPr>
      <w:r w:rsidRPr="00FF00E0">
        <w:rPr>
          <w:bCs/>
          <w:szCs w:val="24"/>
        </w:rPr>
        <w:t xml:space="preserve">Performing special reviews and projects, as requested by the Secretary and other Executives. </w:t>
      </w:r>
    </w:p>
    <w:p w:rsidR="00A5395B" w:rsidRPr="00FF00E0" w:rsidRDefault="00A5395B" w:rsidP="00A5395B">
      <w:pPr>
        <w:pStyle w:val="EndnoteText"/>
        <w:tabs>
          <w:tab w:val="left" w:pos="360"/>
          <w:tab w:val="left" w:pos="720"/>
          <w:tab w:val="left" w:pos="1080"/>
          <w:tab w:val="left" w:pos="1440"/>
          <w:tab w:val="left" w:pos="1800"/>
          <w:tab w:val="left" w:pos="2160"/>
        </w:tabs>
        <w:rPr>
          <w:bCs/>
          <w:szCs w:val="24"/>
        </w:rPr>
      </w:pPr>
    </w:p>
    <w:p w:rsidR="00A5395B" w:rsidRPr="00FF00E0" w:rsidRDefault="00A5395B" w:rsidP="00A5395B">
      <w:pPr>
        <w:widowControl/>
        <w:ind w:left="-90"/>
        <w:contextualSpacing/>
        <w:jc w:val="both"/>
        <w:rPr>
          <w:b/>
          <w:szCs w:val="24"/>
          <w:lang w:bidi="en-US"/>
        </w:rPr>
      </w:pPr>
      <w:r w:rsidRPr="00FF00E0">
        <w:rPr>
          <w:b/>
          <w:szCs w:val="24"/>
          <w:lang w:bidi="en-US"/>
        </w:rPr>
        <w:t>Operational /Compliance Audit</w:t>
      </w:r>
    </w:p>
    <w:p w:rsidR="00A5395B" w:rsidRPr="00FF00E0" w:rsidRDefault="00A5395B" w:rsidP="00A5395B">
      <w:pPr>
        <w:widowControl/>
        <w:ind w:left="-90"/>
        <w:contextualSpacing/>
        <w:jc w:val="both"/>
        <w:rPr>
          <w:b/>
          <w:snapToGrid/>
          <w:szCs w:val="24"/>
          <w:u w:val="single"/>
          <w:lang w:bidi="en-US"/>
        </w:rPr>
      </w:pPr>
      <w:r w:rsidRPr="00FF00E0">
        <w:rPr>
          <w:b/>
          <w:szCs w:val="24"/>
          <w:u w:val="single"/>
          <w:lang w:bidi="en-US"/>
        </w:rPr>
        <w:t>Safe Routes to Public Places</w:t>
      </w:r>
    </w:p>
    <w:p w:rsidR="00A5395B" w:rsidRPr="00FF00E0" w:rsidRDefault="00A5395B" w:rsidP="00A5395B">
      <w:pPr>
        <w:widowControl/>
        <w:ind w:left="-90"/>
        <w:contextualSpacing/>
        <w:jc w:val="both"/>
        <w:rPr>
          <w:snapToGrid/>
          <w:szCs w:val="24"/>
          <w:lang w:bidi="en-US"/>
        </w:rPr>
      </w:pPr>
      <w:r w:rsidRPr="00FF00E0">
        <w:rPr>
          <w:snapToGrid/>
          <w:szCs w:val="24"/>
          <w:lang w:bidi="en-US"/>
        </w:rPr>
        <w:t>The scope of our engagement was to identify and document the section’s primary responsibilities, objectives, and resources, and to assess the effectiveness and efficiency of specific activities, functions, operations, and compliance with judgmentally selected statutes, policies and guidelines.</w:t>
      </w:r>
    </w:p>
    <w:p w:rsidR="00A5395B" w:rsidRPr="00FF00E0" w:rsidRDefault="00A5395B" w:rsidP="00A5395B">
      <w:pPr>
        <w:widowControl/>
        <w:ind w:left="-90"/>
        <w:contextualSpacing/>
        <w:jc w:val="both"/>
        <w:rPr>
          <w:snapToGrid/>
          <w:szCs w:val="24"/>
          <w:lang w:bidi="en-US"/>
        </w:rPr>
      </w:pPr>
    </w:p>
    <w:p w:rsidR="00A5395B" w:rsidRPr="00FF00E0" w:rsidRDefault="00A5395B" w:rsidP="00A5395B">
      <w:pPr>
        <w:widowControl/>
        <w:ind w:left="-90"/>
        <w:contextualSpacing/>
        <w:jc w:val="both"/>
        <w:rPr>
          <w:snapToGrid/>
          <w:szCs w:val="24"/>
          <w:lang w:bidi="en-US"/>
        </w:rPr>
      </w:pPr>
      <w:r w:rsidRPr="00FF00E0">
        <w:rPr>
          <w:snapToGrid/>
          <w:szCs w:val="24"/>
          <w:lang w:bidi="en-US"/>
        </w:rPr>
        <w:t>Our audit consisted of the following:</w:t>
      </w:r>
    </w:p>
    <w:p w:rsidR="00A5395B" w:rsidRPr="00FF00E0" w:rsidRDefault="00A5395B" w:rsidP="00A5395B">
      <w:pPr>
        <w:widowControl/>
        <w:ind w:firstLine="360"/>
        <w:jc w:val="both"/>
        <w:rPr>
          <w:snapToGrid/>
          <w:szCs w:val="24"/>
          <w:lang w:bidi="en-US"/>
        </w:rPr>
      </w:pPr>
    </w:p>
    <w:p w:rsidR="00A5395B" w:rsidRPr="00FF00E0" w:rsidRDefault="00A5395B" w:rsidP="00A5395B">
      <w:pPr>
        <w:widowControl/>
        <w:numPr>
          <w:ilvl w:val="0"/>
          <w:numId w:val="32"/>
        </w:numPr>
        <w:spacing w:after="160" w:line="259" w:lineRule="auto"/>
        <w:jc w:val="both"/>
        <w:rPr>
          <w:snapToGrid/>
          <w:szCs w:val="24"/>
          <w:lang w:bidi="en-US"/>
        </w:rPr>
      </w:pPr>
      <w:r w:rsidRPr="00FF00E0">
        <w:rPr>
          <w:snapToGrid/>
          <w:szCs w:val="24"/>
          <w:lang w:bidi="en-US"/>
        </w:rPr>
        <w:t xml:space="preserve">Interviewed of Safe Routes to Public Places personnel </w:t>
      </w:r>
    </w:p>
    <w:p w:rsidR="00A5395B" w:rsidRPr="00FF00E0" w:rsidRDefault="00A5395B" w:rsidP="00A5395B">
      <w:pPr>
        <w:widowControl/>
        <w:numPr>
          <w:ilvl w:val="0"/>
          <w:numId w:val="32"/>
        </w:numPr>
        <w:spacing w:after="160" w:line="259" w:lineRule="auto"/>
        <w:jc w:val="both"/>
        <w:rPr>
          <w:snapToGrid/>
          <w:szCs w:val="24"/>
          <w:lang w:bidi="en-US"/>
        </w:rPr>
      </w:pPr>
      <w:r w:rsidRPr="00FF00E0">
        <w:rPr>
          <w:snapToGrid/>
          <w:szCs w:val="24"/>
          <w:lang w:bidi="en-US"/>
        </w:rPr>
        <w:t>Prepared a process flow chart of the application review and project section procedures as described by SRTPP personnel to gain an understanding of the processes</w:t>
      </w:r>
    </w:p>
    <w:p w:rsidR="00D226E8" w:rsidRPr="00C86E02" w:rsidRDefault="00A5395B" w:rsidP="00C86E02">
      <w:pPr>
        <w:widowControl/>
        <w:numPr>
          <w:ilvl w:val="0"/>
          <w:numId w:val="32"/>
        </w:numPr>
        <w:spacing w:after="160" w:line="259" w:lineRule="auto"/>
        <w:jc w:val="both"/>
        <w:rPr>
          <w:snapToGrid/>
          <w:szCs w:val="24"/>
          <w:lang w:bidi="en-US"/>
        </w:rPr>
      </w:pPr>
      <w:r w:rsidRPr="00FF00E0">
        <w:rPr>
          <w:snapToGrid/>
          <w:szCs w:val="24"/>
          <w:lang w:bidi="en-US"/>
        </w:rPr>
        <w:t xml:space="preserve">Evaluated the design of the application review process for effectiveness and efficiency </w:t>
      </w:r>
    </w:p>
    <w:p w:rsidR="00C86E02" w:rsidRPr="00FF00E0" w:rsidRDefault="00A5395B" w:rsidP="00A5395B">
      <w:pPr>
        <w:pStyle w:val="EndnoteText"/>
        <w:tabs>
          <w:tab w:val="left" w:pos="360"/>
          <w:tab w:val="left" w:pos="720"/>
          <w:tab w:val="left" w:pos="1080"/>
          <w:tab w:val="left" w:pos="1440"/>
          <w:tab w:val="left" w:pos="1800"/>
          <w:tab w:val="left" w:pos="2160"/>
        </w:tabs>
        <w:rPr>
          <w:b/>
          <w:bCs/>
          <w:szCs w:val="24"/>
        </w:rPr>
      </w:pPr>
      <w:r w:rsidRPr="00FF00E0">
        <w:rPr>
          <w:b/>
          <w:bCs/>
          <w:szCs w:val="24"/>
        </w:rPr>
        <w:t>Special Project Review</w:t>
      </w:r>
    </w:p>
    <w:p w:rsidR="00A5395B" w:rsidRPr="00FF00E0" w:rsidRDefault="00A5395B" w:rsidP="00A5395B">
      <w:pPr>
        <w:pStyle w:val="EndnoteText"/>
        <w:tabs>
          <w:tab w:val="left" w:pos="360"/>
          <w:tab w:val="left" w:pos="720"/>
          <w:tab w:val="left" w:pos="1080"/>
          <w:tab w:val="left" w:pos="1440"/>
          <w:tab w:val="left" w:pos="1800"/>
          <w:tab w:val="left" w:pos="2160"/>
        </w:tabs>
        <w:rPr>
          <w:b/>
          <w:bCs/>
          <w:szCs w:val="24"/>
          <w:u w:val="single"/>
        </w:rPr>
      </w:pPr>
      <w:r w:rsidRPr="00FF00E0">
        <w:rPr>
          <w:b/>
          <w:bCs/>
          <w:szCs w:val="24"/>
          <w:u w:val="single"/>
        </w:rPr>
        <w:t>Review of Road Condition Safety Inspection Process</w:t>
      </w:r>
    </w:p>
    <w:p w:rsidR="00A5395B" w:rsidRPr="00FF00E0" w:rsidRDefault="00A5395B" w:rsidP="00A5395B">
      <w:pPr>
        <w:widowControl/>
        <w:jc w:val="both"/>
        <w:rPr>
          <w:rFonts w:eastAsia="Calibri"/>
          <w:snapToGrid/>
          <w:szCs w:val="24"/>
        </w:rPr>
      </w:pPr>
      <w:r w:rsidRPr="00FF00E0">
        <w:rPr>
          <w:rFonts w:eastAsia="Calibri"/>
          <w:snapToGrid/>
          <w:szCs w:val="24"/>
        </w:rPr>
        <w:t>We randomly selected a sample of twenty-eight (28) or 28.2% of the Parish Maintenance Units, and held conferences with the Parish Maintenance Superintendents and their Administrative Assistants to obtain an understanding of, and to document the processes and procedures used to: a) receive, document, assess, and remediate complaints, b) conduct their biweekly Road Condition Safety Inspections, and c) reduce the amount of debris on the roads.</w:t>
      </w:r>
    </w:p>
    <w:p w:rsidR="00A5395B" w:rsidRPr="00FF00E0" w:rsidRDefault="00A5395B" w:rsidP="00A5395B">
      <w:pPr>
        <w:widowControl/>
        <w:jc w:val="both"/>
        <w:rPr>
          <w:rFonts w:eastAsia="Calibri"/>
          <w:snapToGrid/>
          <w:szCs w:val="24"/>
        </w:rPr>
      </w:pPr>
    </w:p>
    <w:p w:rsidR="00A5395B" w:rsidRPr="00FF00E0" w:rsidRDefault="00A5395B" w:rsidP="00A5395B">
      <w:pPr>
        <w:widowControl/>
        <w:jc w:val="both"/>
        <w:rPr>
          <w:rFonts w:eastAsia="Calibri"/>
          <w:snapToGrid/>
          <w:szCs w:val="24"/>
        </w:rPr>
      </w:pPr>
      <w:r w:rsidRPr="00FF00E0">
        <w:rPr>
          <w:rFonts w:eastAsia="Calibri"/>
          <w:snapToGrid/>
          <w:szCs w:val="24"/>
        </w:rPr>
        <w:t xml:space="preserve">We requested and reviewed a sample of complaints received, “Work Requests”, and “Work Orders” prepared during the months of November and December 2021 and January 2022.  We observed each Parish Maintenance Superintendent perform the biweekly Road Condition Safety Inspection.  Further, we obtained and reviewed the documents used to record, and report adverse safety (“needed work”) issues noted during the inspections.  It was determined, in those instances, whether “Work Requests” were prepared and entered into Agile Assets to prioritize </w:t>
      </w:r>
      <w:proofErr w:type="gramStart"/>
      <w:r w:rsidRPr="00FF00E0">
        <w:rPr>
          <w:rFonts w:eastAsia="Calibri"/>
          <w:snapToGrid/>
          <w:szCs w:val="24"/>
        </w:rPr>
        <w:t>“ needed</w:t>
      </w:r>
      <w:proofErr w:type="gramEnd"/>
      <w:r w:rsidRPr="00FF00E0">
        <w:rPr>
          <w:rFonts w:eastAsia="Calibri"/>
          <w:snapToGrid/>
          <w:szCs w:val="24"/>
        </w:rPr>
        <w:t xml:space="preserve"> work” issues.  Finally, we discussed and documented any resources they use to keep their roads and surrounding areas clean.</w:t>
      </w:r>
    </w:p>
    <w:p w:rsidR="00A5395B" w:rsidRPr="00FF00E0" w:rsidRDefault="00A5395B" w:rsidP="00A5395B">
      <w:pPr>
        <w:pStyle w:val="EndnoteText"/>
        <w:tabs>
          <w:tab w:val="left" w:pos="360"/>
          <w:tab w:val="left" w:pos="720"/>
          <w:tab w:val="left" w:pos="1080"/>
          <w:tab w:val="left" w:pos="1440"/>
          <w:tab w:val="left" w:pos="1800"/>
          <w:tab w:val="left" w:pos="2160"/>
        </w:tabs>
        <w:rPr>
          <w:bCs/>
          <w:szCs w:val="24"/>
        </w:rPr>
      </w:pPr>
    </w:p>
    <w:p w:rsidR="00A5395B" w:rsidRPr="00FF00E0" w:rsidRDefault="00A5395B" w:rsidP="00A5395B">
      <w:pPr>
        <w:pStyle w:val="Default"/>
        <w:rPr>
          <w:b/>
          <w:bCs/>
        </w:rPr>
      </w:pPr>
      <w:r w:rsidRPr="00FF00E0">
        <w:rPr>
          <w:b/>
          <w:bCs/>
        </w:rPr>
        <w:t xml:space="preserve">Audit Review Committee </w:t>
      </w:r>
    </w:p>
    <w:p w:rsidR="00A5395B" w:rsidRPr="00FF00E0" w:rsidRDefault="00A5395B" w:rsidP="00A5395B">
      <w:pPr>
        <w:jc w:val="both"/>
        <w:rPr>
          <w:color w:val="000000"/>
        </w:rPr>
      </w:pPr>
      <w:r w:rsidRPr="00FF00E0">
        <w:rPr>
          <w:color w:val="000000"/>
        </w:rPr>
        <w:t xml:space="preserve">The purpose of the Audit Review Committee (“ARC”) is to provide structured systematic oversight of the Department’s governance, risk management, and internal control practices.  The committee was established to provide oversight and accountability for all Department audit and investigative findings, and to advise the Secretary on policy matters.  </w:t>
      </w:r>
    </w:p>
    <w:p w:rsidR="00A5395B" w:rsidRPr="00FF00E0" w:rsidRDefault="00A5395B" w:rsidP="00A5395B">
      <w:pPr>
        <w:jc w:val="both"/>
        <w:rPr>
          <w:color w:val="000000"/>
        </w:rPr>
      </w:pPr>
    </w:p>
    <w:p w:rsidR="00A5395B" w:rsidRPr="00FF00E0" w:rsidRDefault="00A5395B" w:rsidP="00A5395B">
      <w:pPr>
        <w:jc w:val="both"/>
        <w:rPr>
          <w:color w:val="000000"/>
        </w:rPr>
      </w:pPr>
      <w:r w:rsidRPr="00FF00E0">
        <w:rPr>
          <w:color w:val="000000"/>
        </w:rPr>
        <w:lastRenderedPageBreak/>
        <w:t xml:space="preserve">The scope of the ARC is to review and make recommendations to the Secretary through the Chair on the findings of Department audits and investigations.  The committee members are responsible for ensuring audit and investigation or investigative recommendations are being addressed appropriately.  The committee is not responsible for approving audit responses and/or rebuttals to audit or investigative findings.  </w:t>
      </w:r>
    </w:p>
    <w:p w:rsidR="00A5395B" w:rsidRPr="00FF00E0" w:rsidRDefault="00A5395B" w:rsidP="00A5395B">
      <w:pPr>
        <w:jc w:val="both"/>
        <w:rPr>
          <w:color w:val="000000"/>
        </w:rPr>
      </w:pPr>
    </w:p>
    <w:p w:rsidR="00A5395B" w:rsidRDefault="00A5395B" w:rsidP="00A5395B">
      <w:pPr>
        <w:jc w:val="both"/>
        <w:rPr>
          <w:color w:val="000000"/>
        </w:rPr>
      </w:pPr>
      <w:r w:rsidRPr="00FF00E0">
        <w:rPr>
          <w:color w:val="000000"/>
        </w:rPr>
        <w:t>The authority of the ARC to perform its work is established within the purpose and scope of the charter and PPM 65.  In discharging its responsibilities, the ARC has unrestricted access to members of management, employees, and relevant information it considers necessary to discharge its duties.  The ARC reviews any external or internal audit findings in order to help ensure that the underlying issues were corrected and prevent recurring findings on these issues going forward.</w:t>
      </w:r>
      <w:r>
        <w:rPr>
          <w:color w:val="000000"/>
        </w:rPr>
        <w:t xml:space="preserve"> </w:t>
      </w:r>
    </w:p>
    <w:p w:rsidR="003520ED" w:rsidRDefault="003520ED" w:rsidP="003520ED">
      <w:pPr>
        <w:tabs>
          <w:tab w:val="left" w:pos="1080"/>
          <w:tab w:val="left" w:pos="1620"/>
        </w:tabs>
        <w:ind w:left="1800" w:hanging="720"/>
      </w:pPr>
    </w:p>
    <w:p w:rsidR="003520ED" w:rsidRDefault="003520ED" w:rsidP="003520ED">
      <w:pPr>
        <w:pStyle w:val="BodyTextIndent2"/>
        <w:tabs>
          <w:tab w:val="clear" w:pos="360"/>
          <w:tab w:val="clear" w:pos="720"/>
          <w:tab w:val="clear" w:pos="1080"/>
          <w:tab w:val="clear" w:pos="1440"/>
          <w:tab w:val="clear" w:pos="1800"/>
          <w:tab w:val="clear" w:pos="2160"/>
          <w:tab w:val="left" w:pos="540"/>
          <w:tab w:val="left" w:pos="900"/>
        </w:tabs>
        <w:ind w:left="900"/>
      </w:pPr>
      <w:r>
        <w:t>B.</w:t>
      </w:r>
      <w:r>
        <w:tab/>
        <w:t>Did your office complete any management reports or program evaluations during the fiscal year covered by this report?</w:t>
      </w:r>
    </w:p>
    <w:p w:rsidR="003520ED" w:rsidRDefault="003520ED" w:rsidP="003520ED">
      <w:pPr>
        <w:pStyle w:val="BodyTextIndent2"/>
        <w:tabs>
          <w:tab w:val="clear" w:pos="360"/>
          <w:tab w:val="clear" w:pos="720"/>
          <w:tab w:val="clear" w:pos="1080"/>
          <w:tab w:val="clear" w:pos="1440"/>
          <w:tab w:val="clear" w:pos="1800"/>
          <w:tab w:val="clear" w:pos="2160"/>
          <w:tab w:val="left" w:pos="540"/>
          <w:tab w:val="left" w:pos="900"/>
        </w:tabs>
        <w:ind w:left="900"/>
      </w:pPr>
      <w:r>
        <w:t xml:space="preserve">  </w:t>
      </w:r>
    </w:p>
    <w:p w:rsidR="003520ED" w:rsidRDefault="00156720" w:rsidP="003520ED">
      <w:pPr>
        <w:pStyle w:val="BodyTextIndent2"/>
        <w:tabs>
          <w:tab w:val="clear" w:pos="360"/>
          <w:tab w:val="clear" w:pos="720"/>
          <w:tab w:val="clear" w:pos="1440"/>
          <w:tab w:val="clear" w:pos="1800"/>
          <w:tab w:val="clear" w:pos="2160"/>
          <w:tab w:val="left" w:pos="540"/>
          <w:tab w:val="left" w:pos="900"/>
        </w:tabs>
        <w:ind w:left="1080" w:firstLine="0"/>
      </w:pPr>
      <w:r>
        <w:fldChar w:fldCharType="begin">
          <w:ffData>
            <w:name w:val=""/>
            <w:enabled/>
            <w:calcOnExit w:val="0"/>
            <w:checkBox>
              <w:sizeAuto/>
              <w:default w:val="0"/>
            </w:checkBox>
          </w:ffData>
        </w:fldChar>
      </w:r>
      <w:r>
        <w:instrText xml:space="preserve"> FORMCHECKBOX </w:instrText>
      </w:r>
      <w:r w:rsidR="00B96DB3">
        <w:fldChar w:fldCharType="separate"/>
      </w:r>
      <w:r>
        <w:fldChar w:fldCharType="end"/>
      </w:r>
      <w:r w:rsidR="003520ED">
        <w:tab/>
        <w:t>Yes.</w:t>
      </w:r>
      <w:r w:rsidR="003520ED">
        <w:tab/>
        <w:t xml:space="preserve"> Proceed to Section C below.  </w:t>
      </w:r>
    </w:p>
    <w:p w:rsidR="003520ED" w:rsidRDefault="00156720" w:rsidP="003520ED">
      <w:pPr>
        <w:pStyle w:val="BodyTextIndent2"/>
        <w:tabs>
          <w:tab w:val="clear" w:pos="360"/>
          <w:tab w:val="clear" w:pos="720"/>
          <w:tab w:val="clear" w:pos="1440"/>
          <w:tab w:val="clear" w:pos="1800"/>
          <w:tab w:val="clear" w:pos="2160"/>
          <w:tab w:val="left" w:pos="540"/>
          <w:tab w:val="left" w:pos="900"/>
        </w:tabs>
        <w:ind w:left="1080" w:firstLine="0"/>
      </w:pPr>
      <w:r>
        <w:fldChar w:fldCharType="begin">
          <w:ffData>
            <w:name w:val=""/>
            <w:enabled/>
            <w:calcOnExit w:val="0"/>
            <w:checkBox>
              <w:sizeAuto/>
              <w:default w:val="1"/>
            </w:checkBox>
          </w:ffData>
        </w:fldChar>
      </w:r>
      <w:r>
        <w:instrText xml:space="preserve"> FORMCHECKBOX </w:instrText>
      </w:r>
      <w:r w:rsidR="00B96DB3">
        <w:fldChar w:fldCharType="separate"/>
      </w:r>
      <w:r>
        <w:fldChar w:fldCharType="end"/>
      </w:r>
      <w:r w:rsidR="003520ED">
        <w:tab/>
        <w:t>No</w:t>
      </w:r>
      <w:r w:rsidR="003520ED">
        <w:tab/>
        <w:t xml:space="preserve"> Skip Section C below.</w:t>
      </w:r>
    </w:p>
    <w:p w:rsidR="003520ED" w:rsidRDefault="003520ED" w:rsidP="003520ED">
      <w:pPr>
        <w:pStyle w:val="EndnoteText"/>
      </w:pPr>
    </w:p>
    <w:p w:rsidR="007B1C7B" w:rsidRDefault="007B1C7B">
      <w:pPr>
        <w:pStyle w:val="EndnoteText"/>
        <w:tabs>
          <w:tab w:val="left" w:pos="360"/>
          <w:tab w:val="left" w:pos="720"/>
          <w:tab w:val="left" w:pos="1080"/>
          <w:tab w:val="left" w:pos="1440"/>
          <w:tab w:val="left" w:pos="1800"/>
          <w:tab w:val="left" w:pos="2160"/>
        </w:tabs>
        <w:rPr>
          <w:b/>
          <w:bCs/>
          <w:sz w:val="28"/>
        </w:rPr>
      </w:pPr>
    </w:p>
    <w:sectPr w:rsidR="007B1C7B" w:rsidSect="004A1367">
      <w:headerReference w:type="default" r:id="rId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8E" w:rsidRDefault="00226C8E">
      <w:r>
        <w:separator/>
      </w:r>
    </w:p>
  </w:endnote>
  <w:endnote w:type="continuationSeparator" w:id="0">
    <w:p w:rsidR="00226C8E" w:rsidRDefault="0022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B3" w:rsidRDefault="00B96DB3">
    <w:pPr>
      <w:pStyle w:val="Footer"/>
      <w:tabs>
        <w:tab w:val="clear" w:pos="8640"/>
        <w:tab w:val="right" w:pos="9360"/>
      </w:tabs>
    </w:pPr>
    <w:r>
      <w:rPr>
        <w:rFonts w:ascii="Arial" w:hAnsi="Arial"/>
        <w:sz w:val="20"/>
      </w:rPr>
      <w:t>AMPAR Form</w:t>
    </w:r>
    <w:r>
      <w:rPr>
        <w:rFonts w:ascii="Arial" w:hAnsi="Arial"/>
        <w:sz w:val="20"/>
      </w:rPr>
      <w:tab/>
    </w:r>
    <w:r>
      <w:rPr>
        <w:rStyle w:val="PageNumber"/>
        <w:sz w:val="20"/>
      </w:rPr>
      <w:tab/>
      <w:t xml:space="preserve">            Updated September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B3" w:rsidRDefault="00B96DB3">
    <w:pPr>
      <w:rPr>
        <w:rFonts w:ascii="Arial" w:hAnsi="Arial"/>
        <w:sz w:val="20"/>
      </w:rPr>
    </w:pPr>
    <w:r>
      <w:rPr>
        <w:rFonts w:ascii="Arial" w:hAnsi="Arial"/>
        <w:sz w:val="20"/>
      </w:rPr>
      <w:t>AMPAR Form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t xml:space="preserve">            10/2009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8E" w:rsidRDefault="00226C8E">
      <w:r>
        <w:separator/>
      </w:r>
    </w:p>
  </w:footnote>
  <w:footnote w:type="continuationSeparator" w:id="0">
    <w:p w:rsidR="00226C8E" w:rsidRDefault="0022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B3" w:rsidRDefault="00B96DB3">
    <w:pPr>
      <w:pStyle w:val="Header"/>
      <w:tabs>
        <w:tab w:val="clear" w:pos="8640"/>
        <w:tab w:val="right" w:pos="9360"/>
      </w:tabs>
      <w:rPr>
        <w:rFonts w:ascii="Arial" w:hAnsi="Arial" w:cs="Arial"/>
        <w:sz w:val="20"/>
      </w:rPr>
    </w:pPr>
    <w:r>
      <w:rPr>
        <w:rFonts w:ascii="Arial" w:hAnsi="Arial" w:cs="Arial"/>
        <w:sz w:val="20"/>
      </w:rPr>
      <w:t>Annual Management and Program Analysis Report (ACT 160)</w:t>
    </w:r>
    <w:r>
      <w:rPr>
        <w:rFonts w:ascii="Arial" w:hAnsi="Arial" w:cs="Arial"/>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7510F">
      <w:rPr>
        <w:rStyle w:val="PageNumber"/>
        <w:noProof/>
        <w:sz w:val="20"/>
      </w:rPr>
      <w:t>1</w:t>
    </w:r>
    <w:r>
      <w:rPr>
        <w:rStyle w:val="PageNumber"/>
        <w:sz w:val="20"/>
      </w:rPr>
      <w:fldChar w:fldCharType="end"/>
    </w:r>
  </w:p>
  <w:p w:rsidR="00B96DB3" w:rsidRDefault="00B9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84C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AE74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B010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C4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EA46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00E8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06A4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E0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F2ED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867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97325"/>
    <w:multiLevelType w:val="hybridMultilevel"/>
    <w:tmpl w:val="5A5608A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1" w15:restartNumberingAfterBreak="0">
    <w:nsid w:val="06646593"/>
    <w:multiLevelType w:val="hybridMultilevel"/>
    <w:tmpl w:val="25EE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67973"/>
    <w:multiLevelType w:val="hybridMultilevel"/>
    <w:tmpl w:val="A8D0D74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32121D"/>
    <w:multiLevelType w:val="hybridMultilevel"/>
    <w:tmpl w:val="7CA6637A"/>
    <w:lvl w:ilvl="0" w:tplc="ADAE9024">
      <w:start w:val="1"/>
      <w:numFmt w:val="decimal"/>
      <w:lvlText w:val="%1)"/>
      <w:lvlJc w:val="left"/>
      <w:pPr>
        <w:ind w:left="720" w:hanging="360"/>
      </w:pPr>
      <w:rPr>
        <w:rFonts w:hint="default"/>
        <w:b w:val="0"/>
        <w:color w:val="auto"/>
      </w:rPr>
    </w:lvl>
    <w:lvl w:ilvl="1" w:tplc="94F06040">
      <w:start w:val="1"/>
      <w:numFmt w:val="decimal"/>
      <w:lvlText w:val="%2."/>
      <w:lvlJc w:val="left"/>
      <w:pPr>
        <w:ind w:left="1560" w:hanging="4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947B7"/>
    <w:multiLevelType w:val="hybridMultilevel"/>
    <w:tmpl w:val="79309AE6"/>
    <w:lvl w:ilvl="0" w:tplc="5E507B6E">
      <w:start w:val="1"/>
      <w:numFmt w:val="upperLetter"/>
      <w:lvlText w:val="%1."/>
      <w:lvlJc w:val="left"/>
      <w:pPr>
        <w:tabs>
          <w:tab w:val="num" w:pos="900"/>
        </w:tabs>
        <w:ind w:left="900" w:hanging="360"/>
      </w:pPr>
      <w:rPr>
        <w:rFonts w:hint="default"/>
        <w:b w:val="0"/>
        <w:i w:val="0"/>
      </w:rPr>
    </w:lvl>
    <w:lvl w:ilvl="1" w:tplc="CDAA9EF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7375E36"/>
    <w:multiLevelType w:val="hybridMultilevel"/>
    <w:tmpl w:val="D8EE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E4366"/>
    <w:multiLevelType w:val="hybridMultilevel"/>
    <w:tmpl w:val="F6221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195C0D"/>
    <w:multiLevelType w:val="hybridMultilevel"/>
    <w:tmpl w:val="43DA7B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EA136B"/>
    <w:multiLevelType w:val="hybridMultilevel"/>
    <w:tmpl w:val="3D123224"/>
    <w:lvl w:ilvl="0" w:tplc="8F509CFC">
      <w:start w:val="1"/>
      <w:numFmt w:val="bullet"/>
      <w:lvlText w:val=""/>
      <w:lvlJc w:val="left"/>
      <w:pPr>
        <w:tabs>
          <w:tab w:val="num" w:pos="720"/>
        </w:tabs>
        <w:ind w:left="720" w:hanging="360"/>
      </w:pPr>
      <w:rPr>
        <w:rFonts w:ascii="Wingdings" w:hAnsi="Wingdings" w:hint="default"/>
        <w:color w:val="00000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3DB3B42"/>
    <w:multiLevelType w:val="hybridMultilevel"/>
    <w:tmpl w:val="25A6C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4D65DD"/>
    <w:multiLevelType w:val="hybridMultilevel"/>
    <w:tmpl w:val="4456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A77CD6"/>
    <w:multiLevelType w:val="hybridMultilevel"/>
    <w:tmpl w:val="1138D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B396180"/>
    <w:multiLevelType w:val="hybridMultilevel"/>
    <w:tmpl w:val="7CA6637A"/>
    <w:lvl w:ilvl="0" w:tplc="ADAE9024">
      <w:start w:val="1"/>
      <w:numFmt w:val="decimal"/>
      <w:lvlText w:val="%1)"/>
      <w:lvlJc w:val="left"/>
      <w:pPr>
        <w:ind w:left="720" w:hanging="360"/>
      </w:pPr>
      <w:rPr>
        <w:rFonts w:hint="default"/>
        <w:b w:val="0"/>
        <w:color w:val="auto"/>
      </w:rPr>
    </w:lvl>
    <w:lvl w:ilvl="1" w:tplc="94F06040">
      <w:start w:val="1"/>
      <w:numFmt w:val="decimal"/>
      <w:lvlText w:val="%2."/>
      <w:lvlJc w:val="left"/>
      <w:pPr>
        <w:ind w:left="1560" w:hanging="4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A1BEA"/>
    <w:multiLevelType w:val="hybridMultilevel"/>
    <w:tmpl w:val="9628E76A"/>
    <w:lvl w:ilvl="0" w:tplc="0409000F">
      <w:start w:val="1"/>
      <w:numFmt w:val="decimal"/>
      <w:lvlText w:val="%1."/>
      <w:lvlJc w:val="left"/>
      <w:pPr>
        <w:tabs>
          <w:tab w:val="num" w:pos="2160"/>
        </w:tabs>
        <w:ind w:left="2160" w:hanging="360"/>
      </w:pPr>
    </w:lvl>
    <w:lvl w:ilvl="1" w:tplc="8F509CFC">
      <w:start w:val="1"/>
      <w:numFmt w:val="bullet"/>
      <w:lvlText w:val=""/>
      <w:lvlJc w:val="left"/>
      <w:pPr>
        <w:tabs>
          <w:tab w:val="num" w:pos="2880"/>
        </w:tabs>
        <w:ind w:left="2880" w:hanging="360"/>
      </w:pPr>
      <w:rPr>
        <w:rFonts w:ascii="Wingdings" w:hAnsi="Wingdings" w:hint="default"/>
        <w:color w:val="000000"/>
        <w:sz w:val="24"/>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79E45AE"/>
    <w:multiLevelType w:val="hybridMultilevel"/>
    <w:tmpl w:val="842E733E"/>
    <w:lvl w:ilvl="0" w:tplc="B4E07712">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EA6D5E"/>
    <w:multiLevelType w:val="hybridMultilevel"/>
    <w:tmpl w:val="091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85C70"/>
    <w:multiLevelType w:val="hybridMultilevel"/>
    <w:tmpl w:val="81480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461E7C"/>
    <w:multiLevelType w:val="hybridMultilevel"/>
    <w:tmpl w:val="4F20132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1F90A10"/>
    <w:multiLevelType w:val="hybridMultilevel"/>
    <w:tmpl w:val="3DE867F6"/>
    <w:lvl w:ilvl="0" w:tplc="8F509CFC">
      <w:start w:val="1"/>
      <w:numFmt w:val="bullet"/>
      <w:lvlText w:val=""/>
      <w:lvlJc w:val="left"/>
      <w:pPr>
        <w:tabs>
          <w:tab w:val="num" w:pos="360"/>
        </w:tabs>
        <w:ind w:left="360" w:hanging="360"/>
      </w:pPr>
      <w:rPr>
        <w:rFonts w:ascii="Wingdings" w:hAnsi="Wingdings" w:hint="default"/>
        <w:color w:val="000000"/>
        <w:sz w:val="24"/>
      </w:rPr>
    </w:lvl>
    <w:lvl w:ilvl="1" w:tplc="04090019">
      <w:start w:val="1"/>
      <w:numFmt w:val="lowerLetter"/>
      <w:lvlText w:val="%2."/>
      <w:lvlJc w:val="left"/>
      <w:pPr>
        <w:tabs>
          <w:tab w:val="num" w:pos="1440"/>
        </w:tabs>
        <w:ind w:left="1440" w:hanging="360"/>
      </w:pPr>
    </w:lvl>
    <w:lvl w:ilvl="2" w:tplc="C1045C1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FE6E34"/>
    <w:multiLevelType w:val="hybridMultilevel"/>
    <w:tmpl w:val="405E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94DE8"/>
    <w:multiLevelType w:val="hybridMultilevel"/>
    <w:tmpl w:val="23B2B5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D31E5"/>
    <w:multiLevelType w:val="hybridMultilevel"/>
    <w:tmpl w:val="96B0777C"/>
    <w:lvl w:ilvl="0" w:tplc="8F509CFC">
      <w:start w:val="1"/>
      <w:numFmt w:val="bullet"/>
      <w:lvlText w:val=""/>
      <w:lvlJc w:val="left"/>
      <w:pPr>
        <w:tabs>
          <w:tab w:val="num" w:pos="720"/>
        </w:tabs>
        <w:ind w:left="720" w:hanging="360"/>
      </w:pPr>
      <w:rPr>
        <w:rFonts w:ascii="Wingdings" w:hAnsi="Wingdings" w:hint="default"/>
        <w:color w:val="00000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FE6862"/>
    <w:multiLevelType w:val="hybridMultilevel"/>
    <w:tmpl w:val="CEDA10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20504D2"/>
    <w:multiLevelType w:val="hybridMultilevel"/>
    <w:tmpl w:val="C522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32EA"/>
    <w:multiLevelType w:val="hybridMultilevel"/>
    <w:tmpl w:val="08202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9ED5E45"/>
    <w:multiLevelType w:val="hybridMultilevel"/>
    <w:tmpl w:val="9208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7679"/>
    <w:multiLevelType w:val="hybridMultilevel"/>
    <w:tmpl w:val="1BFA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8"/>
  </w:num>
  <w:num w:numId="4">
    <w:abstractNumId w:val="23"/>
  </w:num>
  <w:num w:numId="5">
    <w:abstractNumId w:val="14"/>
  </w:num>
  <w:num w:numId="6">
    <w:abstractNumId w:val="18"/>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3"/>
  </w:num>
  <w:num w:numId="20">
    <w:abstractNumId w:val="19"/>
  </w:num>
  <w:num w:numId="21">
    <w:abstractNumId w:val="26"/>
  </w:num>
  <w:num w:numId="22">
    <w:abstractNumId w:val="20"/>
  </w:num>
  <w:num w:numId="23">
    <w:abstractNumId w:val="16"/>
  </w:num>
  <w:num w:numId="24">
    <w:abstractNumId w:val="36"/>
  </w:num>
  <w:num w:numId="25">
    <w:abstractNumId w:val="32"/>
  </w:num>
  <w:num w:numId="26">
    <w:abstractNumId w:val="29"/>
  </w:num>
  <w:num w:numId="27">
    <w:abstractNumId w:val="30"/>
  </w:num>
  <w:num w:numId="28">
    <w:abstractNumId w:val="27"/>
  </w:num>
  <w:num w:numId="29">
    <w:abstractNumId w:val="21"/>
  </w:num>
  <w:num w:numId="30">
    <w:abstractNumId w:val="35"/>
  </w:num>
  <w:num w:numId="31">
    <w:abstractNumId w:val="22"/>
  </w:num>
  <w:num w:numId="32">
    <w:abstractNumId w:val="17"/>
  </w:num>
  <w:num w:numId="33">
    <w:abstractNumId w:val="33"/>
  </w:num>
  <w:num w:numId="34">
    <w:abstractNumId w:val="15"/>
  </w:num>
  <w:num w:numId="35">
    <w:abstractNumId w:val="11"/>
  </w:num>
  <w:num w:numId="36">
    <w:abstractNumId w:val="25"/>
  </w:num>
  <w:num w:numId="3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35"/>
    <w:rsid w:val="00003F80"/>
    <w:rsid w:val="0001061E"/>
    <w:rsid w:val="00012DF1"/>
    <w:rsid w:val="00022594"/>
    <w:rsid w:val="00034250"/>
    <w:rsid w:val="000402A2"/>
    <w:rsid w:val="000419DD"/>
    <w:rsid w:val="000442D4"/>
    <w:rsid w:val="00047A1C"/>
    <w:rsid w:val="000546F4"/>
    <w:rsid w:val="00054B17"/>
    <w:rsid w:val="00060EB1"/>
    <w:rsid w:val="0008794B"/>
    <w:rsid w:val="00093658"/>
    <w:rsid w:val="00096630"/>
    <w:rsid w:val="00096BE4"/>
    <w:rsid w:val="000A0C69"/>
    <w:rsid w:val="000A1B20"/>
    <w:rsid w:val="000B5DBD"/>
    <w:rsid w:val="000B7986"/>
    <w:rsid w:val="000C11DB"/>
    <w:rsid w:val="000D2870"/>
    <w:rsid w:val="000D6968"/>
    <w:rsid w:val="000E2DB1"/>
    <w:rsid w:val="000E4820"/>
    <w:rsid w:val="0010036F"/>
    <w:rsid w:val="00102BEC"/>
    <w:rsid w:val="00104FD8"/>
    <w:rsid w:val="00107B24"/>
    <w:rsid w:val="00125C35"/>
    <w:rsid w:val="001403FA"/>
    <w:rsid w:val="001553C2"/>
    <w:rsid w:val="00156720"/>
    <w:rsid w:val="00160E5F"/>
    <w:rsid w:val="0016257A"/>
    <w:rsid w:val="00163A1F"/>
    <w:rsid w:val="00170066"/>
    <w:rsid w:val="00171854"/>
    <w:rsid w:val="00180326"/>
    <w:rsid w:val="00181DB9"/>
    <w:rsid w:val="001855C0"/>
    <w:rsid w:val="00185F26"/>
    <w:rsid w:val="00190365"/>
    <w:rsid w:val="001A405D"/>
    <w:rsid w:val="001A61B4"/>
    <w:rsid w:val="001B0E99"/>
    <w:rsid w:val="001B1F9A"/>
    <w:rsid w:val="001B6287"/>
    <w:rsid w:val="001B780C"/>
    <w:rsid w:val="001C5861"/>
    <w:rsid w:val="001C6F08"/>
    <w:rsid w:val="001E041B"/>
    <w:rsid w:val="001E5CBF"/>
    <w:rsid w:val="001E5E18"/>
    <w:rsid w:val="001F57CC"/>
    <w:rsid w:val="0020040B"/>
    <w:rsid w:val="00200794"/>
    <w:rsid w:val="002018AE"/>
    <w:rsid w:val="00226BC4"/>
    <w:rsid w:val="00226C8E"/>
    <w:rsid w:val="002332CD"/>
    <w:rsid w:val="00233926"/>
    <w:rsid w:val="00240D52"/>
    <w:rsid w:val="00243E18"/>
    <w:rsid w:val="00252578"/>
    <w:rsid w:val="002526DC"/>
    <w:rsid w:val="00252C5B"/>
    <w:rsid w:val="00254E53"/>
    <w:rsid w:val="00257474"/>
    <w:rsid w:val="00257F20"/>
    <w:rsid w:val="002618E6"/>
    <w:rsid w:val="002733A6"/>
    <w:rsid w:val="00282286"/>
    <w:rsid w:val="00286F1E"/>
    <w:rsid w:val="002A669B"/>
    <w:rsid w:val="002A748F"/>
    <w:rsid w:val="002B1CEF"/>
    <w:rsid w:val="002C44B5"/>
    <w:rsid w:val="002D13F4"/>
    <w:rsid w:val="002D162C"/>
    <w:rsid w:val="002D28C0"/>
    <w:rsid w:val="002D2CFE"/>
    <w:rsid w:val="002D3491"/>
    <w:rsid w:val="002E01B9"/>
    <w:rsid w:val="002E670E"/>
    <w:rsid w:val="002F1391"/>
    <w:rsid w:val="002F19D2"/>
    <w:rsid w:val="002F5B83"/>
    <w:rsid w:val="0030206A"/>
    <w:rsid w:val="00311FF0"/>
    <w:rsid w:val="00314BDF"/>
    <w:rsid w:val="00316127"/>
    <w:rsid w:val="00317DE3"/>
    <w:rsid w:val="0033392B"/>
    <w:rsid w:val="003436CC"/>
    <w:rsid w:val="00344C7D"/>
    <w:rsid w:val="0034504F"/>
    <w:rsid w:val="00345AC7"/>
    <w:rsid w:val="003460D3"/>
    <w:rsid w:val="003520ED"/>
    <w:rsid w:val="00354A53"/>
    <w:rsid w:val="0036376D"/>
    <w:rsid w:val="00380E2F"/>
    <w:rsid w:val="00383B21"/>
    <w:rsid w:val="003A1D4F"/>
    <w:rsid w:val="003A7650"/>
    <w:rsid w:val="003B2B1C"/>
    <w:rsid w:val="003C436C"/>
    <w:rsid w:val="003C7E62"/>
    <w:rsid w:val="003D13ED"/>
    <w:rsid w:val="003E4764"/>
    <w:rsid w:val="003F0809"/>
    <w:rsid w:val="0040147B"/>
    <w:rsid w:val="00405A73"/>
    <w:rsid w:val="0041242C"/>
    <w:rsid w:val="00415039"/>
    <w:rsid w:val="004271BC"/>
    <w:rsid w:val="00427384"/>
    <w:rsid w:val="0043203F"/>
    <w:rsid w:val="00440A55"/>
    <w:rsid w:val="0044231B"/>
    <w:rsid w:val="004433A5"/>
    <w:rsid w:val="004519AE"/>
    <w:rsid w:val="00463126"/>
    <w:rsid w:val="00472B67"/>
    <w:rsid w:val="00477B0C"/>
    <w:rsid w:val="00491046"/>
    <w:rsid w:val="004937AB"/>
    <w:rsid w:val="004A0020"/>
    <w:rsid w:val="004A00AA"/>
    <w:rsid w:val="004A1367"/>
    <w:rsid w:val="004B138E"/>
    <w:rsid w:val="004C1E76"/>
    <w:rsid w:val="004C7914"/>
    <w:rsid w:val="004D0AC2"/>
    <w:rsid w:val="004D613E"/>
    <w:rsid w:val="004E2E7D"/>
    <w:rsid w:val="004E49FD"/>
    <w:rsid w:val="004E643E"/>
    <w:rsid w:val="004E6769"/>
    <w:rsid w:val="004E6C1A"/>
    <w:rsid w:val="004F2836"/>
    <w:rsid w:val="004F3DF1"/>
    <w:rsid w:val="004F686F"/>
    <w:rsid w:val="005022EA"/>
    <w:rsid w:val="0050272C"/>
    <w:rsid w:val="005041C9"/>
    <w:rsid w:val="00510761"/>
    <w:rsid w:val="00510F9E"/>
    <w:rsid w:val="00524C1C"/>
    <w:rsid w:val="00525C89"/>
    <w:rsid w:val="00534C5E"/>
    <w:rsid w:val="00537090"/>
    <w:rsid w:val="00545BBE"/>
    <w:rsid w:val="00562057"/>
    <w:rsid w:val="005807CD"/>
    <w:rsid w:val="00596B4D"/>
    <w:rsid w:val="005A2E45"/>
    <w:rsid w:val="005B53B4"/>
    <w:rsid w:val="005B6F7B"/>
    <w:rsid w:val="005D2379"/>
    <w:rsid w:val="005D3821"/>
    <w:rsid w:val="005D4164"/>
    <w:rsid w:val="005E03DB"/>
    <w:rsid w:val="005F35B7"/>
    <w:rsid w:val="005F6300"/>
    <w:rsid w:val="005F7E55"/>
    <w:rsid w:val="00601B16"/>
    <w:rsid w:val="00612055"/>
    <w:rsid w:val="00642957"/>
    <w:rsid w:val="0065549B"/>
    <w:rsid w:val="0066094D"/>
    <w:rsid w:val="006609B0"/>
    <w:rsid w:val="0066243B"/>
    <w:rsid w:val="0067390B"/>
    <w:rsid w:val="0068453C"/>
    <w:rsid w:val="006878F7"/>
    <w:rsid w:val="006A2A4B"/>
    <w:rsid w:val="006B7005"/>
    <w:rsid w:val="006C6809"/>
    <w:rsid w:val="006E3CAA"/>
    <w:rsid w:val="006E42E4"/>
    <w:rsid w:val="006E520D"/>
    <w:rsid w:val="006F18B1"/>
    <w:rsid w:val="006F56FB"/>
    <w:rsid w:val="00701E6C"/>
    <w:rsid w:val="00704E7A"/>
    <w:rsid w:val="0070691D"/>
    <w:rsid w:val="00726132"/>
    <w:rsid w:val="007466EC"/>
    <w:rsid w:val="00746CCE"/>
    <w:rsid w:val="00752F59"/>
    <w:rsid w:val="00761155"/>
    <w:rsid w:val="00772134"/>
    <w:rsid w:val="00783FCE"/>
    <w:rsid w:val="007A1FEC"/>
    <w:rsid w:val="007A2105"/>
    <w:rsid w:val="007B1C7B"/>
    <w:rsid w:val="007C0D6C"/>
    <w:rsid w:val="007D46C6"/>
    <w:rsid w:val="007E4559"/>
    <w:rsid w:val="007F3BF8"/>
    <w:rsid w:val="007F6E41"/>
    <w:rsid w:val="00805288"/>
    <w:rsid w:val="00822711"/>
    <w:rsid w:val="00822752"/>
    <w:rsid w:val="008238E6"/>
    <w:rsid w:val="00842092"/>
    <w:rsid w:val="008422C4"/>
    <w:rsid w:val="008525BE"/>
    <w:rsid w:val="00861767"/>
    <w:rsid w:val="00867778"/>
    <w:rsid w:val="00870396"/>
    <w:rsid w:val="0087510F"/>
    <w:rsid w:val="00892AEB"/>
    <w:rsid w:val="008934BA"/>
    <w:rsid w:val="00896CEF"/>
    <w:rsid w:val="008A59ED"/>
    <w:rsid w:val="008C0216"/>
    <w:rsid w:val="008C3186"/>
    <w:rsid w:val="008D221C"/>
    <w:rsid w:val="008D6624"/>
    <w:rsid w:val="008E0E53"/>
    <w:rsid w:val="008E13FF"/>
    <w:rsid w:val="008E1445"/>
    <w:rsid w:val="0090218C"/>
    <w:rsid w:val="009149BE"/>
    <w:rsid w:val="0091611F"/>
    <w:rsid w:val="00917E87"/>
    <w:rsid w:val="009216D2"/>
    <w:rsid w:val="009224E0"/>
    <w:rsid w:val="00923036"/>
    <w:rsid w:val="0093171B"/>
    <w:rsid w:val="0093389C"/>
    <w:rsid w:val="00936C1C"/>
    <w:rsid w:val="009370C0"/>
    <w:rsid w:val="00940869"/>
    <w:rsid w:val="00951237"/>
    <w:rsid w:val="0095537B"/>
    <w:rsid w:val="00957552"/>
    <w:rsid w:val="00961A56"/>
    <w:rsid w:val="0096622F"/>
    <w:rsid w:val="00967A45"/>
    <w:rsid w:val="009710E1"/>
    <w:rsid w:val="00977614"/>
    <w:rsid w:val="00983696"/>
    <w:rsid w:val="009A3D6A"/>
    <w:rsid w:val="009A49C5"/>
    <w:rsid w:val="009C529B"/>
    <w:rsid w:val="009D3E25"/>
    <w:rsid w:val="009E5518"/>
    <w:rsid w:val="009F09D5"/>
    <w:rsid w:val="009F5BC6"/>
    <w:rsid w:val="00A006AE"/>
    <w:rsid w:val="00A36941"/>
    <w:rsid w:val="00A5395B"/>
    <w:rsid w:val="00A53A60"/>
    <w:rsid w:val="00A57C22"/>
    <w:rsid w:val="00A65FB3"/>
    <w:rsid w:val="00A66054"/>
    <w:rsid w:val="00A67942"/>
    <w:rsid w:val="00A973CF"/>
    <w:rsid w:val="00AA29CB"/>
    <w:rsid w:val="00AC2080"/>
    <w:rsid w:val="00AC3D3A"/>
    <w:rsid w:val="00AE639F"/>
    <w:rsid w:val="00AE7968"/>
    <w:rsid w:val="00AE7DD2"/>
    <w:rsid w:val="00AF5E94"/>
    <w:rsid w:val="00AF79D6"/>
    <w:rsid w:val="00B02A94"/>
    <w:rsid w:val="00B067F7"/>
    <w:rsid w:val="00B2039A"/>
    <w:rsid w:val="00B21D81"/>
    <w:rsid w:val="00B23534"/>
    <w:rsid w:val="00B26C5A"/>
    <w:rsid w:val="00B26C95"/>
    <w:rsid w:val="00B26F23"/>
    <w:rsid w:val="00B27335"/>
    <w:rsid w:val="00B31D42"/>
    <w:rsid w:val="00B333CE"/>
    <w:rsid w:val="00B50ABF"/>
    <w:rsid w:val="00B55ED1"/>
    <w:rsid w:val="00B62FCE"/>
    <w:rsid w:val="00B72B99"/>
    <w:rsid w:val="00B73971"/>
    <w:rsid w:val="00B76FE2"/>
    <w:rsid w:val="00B772B8"/>
    <w:rsid w:val="00B80B6B"/>
    <w:rsid w:val="00B9295E"/>
    <w:rsid w:val="00B96DB3"/>
    <w:rsid w:val="00BC197A"/>
    <w:rsid w:val="00BE527C"/>
    <w:rsid w:val="00BF2F44"/>
    <w:rsid w:val="00BF6AC3"/>
    <w:rsid w:val="00C10741"/>
    <w:rsid w:val="00C17322"/>
    <w:rsid w:val="00C22CE3"/>
    <w:rsid w:val="00C31C8E"/>
    <w:rsid w:val="00C34C3B"/>
    <w:rsid w:val="00C375E7"/>
    <w:rsid w:val="00C514C5"/>
    <w:rsid w:val="00C53851"/>
    <w:rsid w:val="00C567A8"/>
    <w:rsid w:val="00C60285"/>
    <w:rsid w:val="00C611E0"/>
    <w:rsid w:val="00C613EB"/>
    <w:rsid w:val="00C61B68"/>
    <w:rsid w:val="00C6398D"/>
    <w:rsid w:val="00C654F3"/>
    <w:rsid w:val="00C6612B"/>
    <w:rsid w:val="00C80432"/>
    <w:rsid w:val="00C83E59"/>
    <w:rsid w:val="00C86354"/>
    <w:rsid w:val="00C86E02"/>
    <w:rsid w:val="00CA503D"/>
    <w:rsid w:val="00CA64DC"/>
    <w:rsid w:val="00CC690E"/>
    <w:rsid w:val="00CD62EC"/>
    <w:rsid w:val="00CE1403"/>
    <w:rsid w:val="00CE2B7C"/>
    <w:rsid w:val="00CE2DE5"/>
    <w:rsid w:val="00CE3EE2"/>
    <w:rsid w:val="00CE5DFE"/>
    <w:rsid w:val="00CF35A2"/>
    <w:rsid w:val="00CF75C8"/>
    <w:rsid w:val="00D06C11"/>
    <w:rsid w:val="00D06FFC"/>
    <w:rsid w:val="00D105B4"/>
    <w:rsid w:val="00D13B96"/>
    <w:rsid w:val="00D177D4"/>
    <w:rsid w:val="00D226E8"/>
    <w:rsid w:val="00D22B8D"/>
    <w:rsid w:val="00D25771"/>
    <w:rsid w:val="00D40AAA"/>
    <w:rsid w:val="00D4107B"/>
    <w:rsid w:val="00D55E64"/>
    <w:rsid w:val="00D56BBA"/>
    <w:rsid w:val="00D71BEA"/>
    <w:rsid w:val="00D81CE2"/>
    <w:rsid w:val="00D92AB4"/>
    <w:rsid w:val="00DA5101"/>
    <w:rsid w:val="00DA7085"/>
    <w:rsid w:val="00DB5D7D"/>
    <w:rsid w:val="00DB65D2"/>
    <w:rsid w:val="00DC0261"/>
    <w:rsid w:val="00DC3008"/>
    <w:rsid w:val="00DC6B28"/>
    <w:rsid w:val="00DD03FF"/>
    <w:rsid w:val="00DE2036"/>
    <w:rsid w:val="00DF4D6E"/>
    <w:rsid w:val="00E00108"/>
    <w:rsid w:val="00E001EB"/>
    <w:rsid w:val="00E02331"/>
    <w:rsid w:val="00E039A9"/>
    <w:rsid w:val="00E1627A"/>
    <w:rsid w:val="00E23ACB"/>
    <w:rsid w:val="00E25CCF"/>
    <w:rsid w:val="00E35F2D"/>
    <w:rsid w:val="00E375BB"/>
    <w:rsid w:val="00E4266A"/>
    <w:rsid w:val="00E43CFC"/>
    <w:rsid w:val="00E60359"/>
    <w:rsid w:val="00E76651"/>
    <w:rsid w:val="00E81A99"/>
    <w:rsid w:val="00E83D18"/>
    <w:rsid w:val="00E92270"/>
    <w:rsid w:val="00E931EC"/>
    <w:rsid w:val="00E953F0"/>
    <w:rsid w:val="00E96CE9"/>
    <w:rsid w:val="00E97251"/>
    <w:rsid w:val="00E97D8F"/>
    <w:rsid w:val="00EA6C8E"/>
    <w:rsid w:val="00EB4D68"/>
    <w:rsid w:val="00EC7AE3"/>
    <w:rsid w:val="00ED1415"/>
    <w:rsid w:val="00EF5B93"/>
    <w:rsid w:val="00F04A79"/>
    <w:rsid w:val="00F12111"/>
    <w:rsid w:val="00F30D23"/>
    <w:rsid w:val="00F41445"/>
    <w:rsid w:val="00F453F3"/>
    <w:rsid w:val="00F51BE2"/>
    <w:rsid w:val="00F53A54"/>
    <w:rsid w:val="00F6046D"/>
    <w:rsid w:val="00F63A9B"/>
    <w:rsid w:val="00F75D86"/>
    <w:rsid w:val="00F7688E"/>
    <w:rsid w:val="00F76895"/>
    <w:rsid w:val="00F8368D"/>
    <w:rsid w:val="00F9138D"/>
    <w:rsid w:val="00F956EC"/>
    <w:rsid w:val="00FC2EEA"/>
    <w:rsid w:val="00FD4D03"/>
    <w:rsid w:val="00FE0568"/>
    <w:rsid w:val="00FE0BF8"/>
    <w:rsid w:val="00FE6BE7"/>
    <w:rsid w:val="00FF00E0"/>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1227"/>
  <w15:docId w15:val="{BD2907A2-4B55-4CF3-BE90-7F7B3509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2F"/>
    <w:pPr>
      <w:widowControl w:val="0"/>
    </w:pPr>
    <w:rPr>
      <w:snapToGrid w:val="0"/>
      <w:sz w:val="24"/>
    </w:rPr>
  </w:style>
  <w:style w:type="paragraph" w:styleId="Heading1">
    <w:name w:val="heading 1"/>
    <w:basedOn w:val="Normal"/>
    <w:next w:val="Normal"/>
    <w:qFormat/>
    <w:rsid w:val="00380E2F"/>
    <w:pPr>
      <w:keepNext/>
      <w:spacing w:before="240" w:after="60"/>
      <w:outlineLvl w:val="0"/>
    </w:pPr>
    <w:rPr>
      <w:rFonts w:ascii="Arial" w:hAnsi="Arial"/>
      <w:b/>
      <w:kern w:val="28"/>
      <w:sz w:val="36"/>
    </w:rPr>
  </w:style>
  <w:style w:type="paragraph" w:styleId="Heading2">
    <w:name w:val="heading 2"/>
    <w:basedOn w:val="Normal"/>
    <w:next w:val="Normal"/>
    <w:qFormat/>
    <w:rsid w:val="00380E2F"/>
    <w:pPr>
      <w:keepNext/>
      <w:spacing w:before="240" w:after="60"/>
      <w:outlineLvl w:val="1"/>
    </w:pPr>
    <w:rPr>
      <w:rFonts w:ascii="Arial" w:hAnsi="Arial"/>
      <w:b/>
      <w:i/>
    </w:rPr>
  </w:style>
  <w:style w:type="paragraph" w:styleId="Heading3">
    <w:name w:val="heading 3"/>
    <w:basedOn w:val="Normal"/>
    <w:next w:val="Normal"/>
    <w:qFormat/>
    <w:rsid w:val="00380E2F"/>
    <w:pPr>
      <w:keepNext/>
      <w:spacing w:before="240" w:after="60"/>
      <w:outlineLvl w:val="2"/>
    </w:pPr>
    <w:rPr>
      <w:rFonts w:ascii="Arial" w:hAnsi="Arial"/>
    </w:rPr>
  </w:style>
  <w:style w:type="paragraph" w:styleId="Heading4">
    <w:name w:val="heading 4"/>
    <w:basedOn w:val="Normal"/>
    <w:next w:val="Normal"/>
    <w:qFormat/>
    <w:rsid w:val="00380E2F"/>
    <w:pPr>
      <w:keepNext/>
      <w:spacing w:before="240" w:after="240"/>
      <w:outlineLvl w:val="3"/>
    </w:pPr>
    <w:rPr>
      <w:rFonts w:ascii="Arial" w:hAnsi="Arial"/>
      <w:b/>
      <w:sz w:val="32"/>
    </w:rPr>
  </w:style>
  <w:style w:type="paragraph" w:styleId="Heading5">
    <w:name w:val="heading 5"/>
    <w:basedOn w:val="Normal"/>
    <w:next w:val="Normal"/>
    <w:qFormat/>
    <w:rsid w:val="00380E2F"/>
    <w:pPr>
      <w:keepNext/>
      <w:tabs>
        <w:tab w:val="left" w:pos="360"/>
        <w:tab w:val="left" w:pos="720"/>
        <w:tab w:val="left" w:pos="1080"/>
        <w:tab w:val="left" w:pos="1440"/>
        <w:tab w:val="left" w:pos="1800"/>
        <w:tab w:val="left" w:pos="2160"/>
      </w:tabs>
      <w:jc w:val="center"/>
      <w:outlineLvl w:val="4"/>
    </w:pPr>
    <w:rPr>
      <w:b/>
      <w:bCs/>
    </w:rPr>
  </w:style>
  <w:style w:type="paragraph" w:styleId="Heading6">
    <w:name w:val="heading 6"/>
    <w:basedOn w:val="Normal"/>
    <w:next w:val="Normal"/>
    <w:qFormat/>
    <w:rsid w:val="00380E2F"/>
    <w:pPr>
      <w:keepNext/>
      <w:numPr>
        <w:numId w:val="2"/>
      </w:numPr>
      <w:outlineLvl w:val="5"/>
    </w:pPr>
    <w:rPr>
      <w:b/>
      <w:bCs/>
    </w:rPr>
  </w:style>
  <w:style w:type="paragraph" w:styleId="Heading7">
    <w:name w:val="heading 7"/>
    <w:basedOn w:val="Normal"/>
    <w:next w:val="Normal"/>
    <w:qFormat/>
    <w:rsid w:val="00380E2F"/>
    <w:pPr>
      <w:keepNext/>
      <w:jc w:val="center"/>
      <w:outlineLvl w:val="6"/>
    </w:pPr>
    <w:rPr>
      <w:b/>
      <w:bCs/>
      <w:sz w:val="32"/>
    </w:rPr>
  </w:style>
  <w:style w:type="paragraph" w:styleId="Heading8">
    <w:name w:val="heading 8"/>
    <w:basedOn w:val="Normal"/>
    <w:next w:val="Normal"/>
    <w:qFormat/>
    <w:rsid w:val="00380E2F"/>
    <w:pPr>
      <w:spacing w:before="240" w:after="60"/>
      <w:outlineLvl w:val="7"/>
    </w:pPr>
    <w:rPr>
      <w:i/>
      <w:iCs/>
      <w:szCs w:val="24"/>
    </w:rPr>
  </w:style>
  <w:style w:type="paragraph" w:styleId="Heading9">
    <w:name w:val="heading 9"/>
    <w:basedOn w:val="Normal"/>
    <w:next w:val="Normal"/>
    <w:qFormat/>
    <w:rsid w:val="00380E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80E2F"/>
  </w:style>
  <w:style w:type="paragraph" w:styleId="CommentText">
    <w:name w:val="annotation text"/>
    <w:basedOn w:val="Normal"/>
    <w:link w:val="CommentTextChar"/>
    <w:semiHidden/>
    <w:rsid w:val="00380E2F"/>
    <w:pPr>
      <w:jc w:val="both"/>
    </w:pPr>
    <w:rPr>
      <w:rFonts w:ascii="Arial" w:hAnsi="Arial"/>
      <w:sz w:val="18"/>
    </w:rPr>
  </w:style>
  <w:style w:type="paragraph" w:styleId="Caption">
    <w:name w:val="caption"/>
    <w:basedOn w:val="Normal"/>
    <w:next w:val="Normal"/>
    <w:qFormat/>
    <w:rsid w:val="00380E2F"/>
  </w:style>
  <w:style w:type="paragraph" w:customStyle="1" w:styleId="a">
    <w:name w:val="_"/>
    <w:basedOn w:val="Normal"/>
    <w:rsid w:val="00380E2F"/>
    <w:pPr>
      <w:ind w:left="2160" w:hanging="360"/>
    </w:pPr>
  </w:style>
  <w:style w:type="paragraph" w:styleId="DocumentMap">
    <w:name w:val="Document Map"/>
    <w:basedOn w:val="Normal"/>
    <w:semiHidden/>
    <w:rsid w:val="00380E2F"/>
    <w:pPr>
      <w:shd w:val="clear" w:color="auto" w:fill="000080"/>
    </w:pPr>
    <w:rPr>
      <w:rFonts w:ascii="Tahoma" w:hAnsi="Tahoma"/>
    </w:rPr>
  </w:style>
  <w:style w:type="character" w:styleId="EndnoteReference">
    <w:name w:val="endnote reference"/>
    <w:basedOn w:val="DefaultParagraphFont"/>
    <w:semiHidden/>
    <w:rsid w:val="00380E2F"/>
    <w:rPr>
      <w:vertAlign w:val="superscript"/>
    </w:rPr>
  </w:style>
  <w:style w:type="paragraph" w:styleId="EndnoteText">
    <w:name w:val="endnote text"/>
    <w:basedOn w:val="Normal"/>
    <w:link w:val="EndnoteTextChar"/>
    <w:semiHidden/>
    <w:rsid w:val="00380E2F"/>
  </w:style>
  <w:style w:type="character" w:styleId="FollowedHyperlink">
    <w:name w:val="FollowedHyperlink"/>
    <w:basedOn w:val="DefaultParagraphFont"/>
    <w:rsid w:val="00380E2F"/>
    <w:rPr>
      <w:color w:val="800080"/>
      <w:u w:val="single"/>
    </w:rPr>
  </w:style>
  <w:style w:type="paragraph" w:styleId="Footer">
    <w:name w:val="footer"/>
    <w:basedOn w:val="Normal"/>
    <w:rsid w:val="00380E2F"/>
    <w:pPr>
      <w:tabs>
        <w:tab w:val="center" w:pos="4320"/>
        <w:tab w:val="right" w:pos="8640"/>
      </w:tabs>
    </w:pPr>
  </w:style>
  <w:style w:type="character" w:styleId="FootnoteReference">
    <w:name w:val="footnote reference"/>
    <w:basedOn w:val="DefaultParagraphFont"/>
    <w:semiHidden/>
    <w:rsid w:val="00380E2F"/>
    <w:rPr>
      <w:vertAlign w:val="superscript"/>
    </w:rPr>
  </w:style>
  <w:style w:type="paragraph" w:styleId="FootnoteText">
    <w:name w:val="footnote text"/>
    <w:basedOn w:val="Normal"/>
    <w:semiHidden/>
    <w:rsid w:val="00380E2F"/>
  </w:style>
  <w:style w:type="paragraph" w:customStyle="1" w:styleId="H2">
    <w:name w:val="H2"/>
    <w:basedOn w:val="Normal"/>
    <w:next w:val="Normal"/>
    <w:rsid w:val="00380E2F"/>
    <w:pPr>
      <w:keepNext/>
      <w:spacing w:before="100" w:after="100"/>
      <w:outlineLvl w:val="2"/>
    </w:pPr>
    <w:rPr>
      <w:b/>
      <w:sz w:val="36"/>
    </w:rPr>
  </w:style>
  <w:style w:type="paragraph" w:customStyle="1" w:styleId="H3">
    <w:name w:val="H3"/>
    <w:basedOn w:val="Normal"/>
    <w:next w:val="Normal"/>
    <w:rsid w:val="00380E2F"/>
    <w:pPr>
      <w:keepNext/>
      <w:spacing w:before="100" w:after="100"/>
      <w:outlineLvl w:val="3"/>
    </w:pPr>
    <w:rPr>
      <w:b/>
      <w:sz w:val="28"/>
    </w:rPr>
  </w:style>
  <w:style w:type="paragraph" w:customStyle="1" w:styleId="H4">
    <w:name w:val="H4"/>
    <w:basedOn w:val="Normal"/>
    <w:next w:val="Normal"/>
    <w:rsid w:val="00380E2F"/>
    <w:pPr>
      <w:keepNext/>
      <w:spacing w:before="100" w:after="100"/>
      <w:outlineLvl w:val="4"/>
    </w:pPr>
    <w:rPr>
      <w:b/>
    </w:rPr>
  </w:style>
  <w:style w:type="paragraph" w:customStyle="1" w:styleId="H5">
    <w:name w:val="H5"/>
    <w:basedOn w:val="Normal"/>
    <w:next w:val="Normal"/>
    <w:rsid w:val="00380E2F"/>
    <w:pPr>
      <w:keepNext/>
      <w:spacing w:before="100" w:after="100"/>
      <w:outlineLvl w:val="5"/>
    </w:pPr>
    <w:rPr>
      <w:b/>
      <w:sz w:val="20"/>
    </w:rPr>
  </w:style>
  <w:style w:type="paragraph" w:styleId="Header">
    <w:name w:val="header"/>
    <w:basedOn w:val="Normal"/>
    <w:rsid w:val="00380E2F"/>
    <w:pPr>
      <w:tabs>
        <w:tab w:val="center" w:pos="4320"/>
        <w:tab w:val="right" w:pos="8640"/>
      </w:tabs>
    </w:pPr>
  </w:style>
  <w:style w:type="character" w:styleId="Hyperlink">
    <w:name w:val="Hyperlink"/>
    <w:basedOn w:val="DefaultParagraphFont"/>
    <w:rsid w:val="00380E2F"/>
    <w:rPr>
      <w:color w:val="0000FF"/>
      <w:u w:val="single"/>
    </w:rPr>
  </w:style>
  <w:style w:type="paragraph" w:styleId="Index1">
    <w:name w:val="index 1"/>
    <w:basedOn w:val="Normal"/>
    <w:next w:val="Normal"/>
    <w:autoRedefine/>
    <w:semiHidden/>
    <w:rsid w:val="00380E2F"/>
    <w:pPr>
      <w:tabs>
        <w:tab w:val="right" w:leader="dot" w:pos="9360"/>
      </w:tabs>
      <w:suppressAutoHyphens/>
      <w:ind w:left="1440" w:right="720" w:hanging="1440"/>
    </w:pPr>
  </w:style>
  <w:style w:type="paragraph" w:styleId="Index2">
    <w:name w:val="index 2"/>
    <w:basedOn w:val="Normal"/>
    <w:next w:val="Normal"/>
    <w:autoRedefine/>
    <w:semiHidden/>
    <w:rsid w:val="00380E2F"/>
    <w:pPr>
      <w:tabs>
        <w:tab w:val="right" w:leader="dot" w:pos="9360"/>
      </w:tabs>
      <w:suppressAutoHyphens/>
      <w:ind w:left="1440" w:right="720" w:hanging="720"/>
    </w:pPr>
  </w:style>
  <w:style w:type="paragraph" w:customStyle="1" w:styleId="MANAGEWARE">
    <w:name w:val="MANAGEWARE"/>
    <w:basedOn w:val="Normal"/>
    <w:rsid w:val="00380E2F"/>
    <w:pPr>
      <w:tabs>
        <w:tab w:val="left" w:pos="-1440"/>
        <w:tab w:val="left" w:pos="-720"/>
        <w:tab w:val="left" w:pos="-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pPr>
    <w:rPr>
      <w:spacing w:val="-3"/>
    </w:rPr>
  </w:style>
  <w:style w:type="character" w:styleId="PageNumber">
    <w:name w:val="page number"/>
    <w:basedOn w:val="DefaultParagraphFont"/>
    <w:rsid w:val="00380E2F"/>
    <w:rPr>
      <w:rFonts w:ascii="Arial" w:hAnsi="Arial"/>
      <w:sz w:val="24"/>
    </w:rPr>
  </w:style>
  <w:style w:type="paragraph" w:styleId="PlainText">
    <w:name w:val="Plain Text"/>
    <w:basedOn w:val="Normal"/>
    <w:rsid w:val="00380E2F"/>
    <w:pPr>
      <w:widowControl/>
    </w:pPr>
    <w:rPr>
      <w:rFonts w:ascii="Courier New" w:hAnsi="Courier New"/>
      <w:snapToGrid/>
    </w:rPr>
  </w:style>
  <w:style w:type="paragraph" w:styleId="TOAHeading">
    <w:name w:val="toa heading"/>
    <w:basedOn w:val="Normal"/>
    <w:next w:val="Normal"/>
    <w:semiHidden/>
    <w:rsid w:val="00380E2F"/>
    <w:pPr>
      <w:tabs>
        <w:tab w:val="right" w:pos="9360"/>
      </w:tabs>
      <w:suppressAutoHyphens/>
    </w:pPr>
  </w:style>
  <w:style w:type="paragraph" w:styleId="TOC1">
    <w:name w:val="toc 1"/>
    <w:basedOn w:val="Normal"/>
    <w:next w:val="Normal"/>
    <w:autoRedefine/>
    <w:semiHidden/>
    <w:rsid w:val="00380E2F"/>
    <w:pPr>
      <w:tabs>
        <w:tab w:val="right" w:leader="dot" w:pos="9360"/>
      </w:tabs>
      <w:suppressAutoHyphens/>
      <w:spacing w:before="480"/>
      <w:ind w:left="720" w:right="720" w:hanging="720"/>
    </w:pPr>
  </w:style>
  <w:style w:type="paragraph" w:styleId="TOC2">
    <w:name w:val="toc 2"/>
    <w:basedOn w:val="Normal"/>
    <w:next w:val="Normal"/>
    <w:autoRedefine/>
    <w:semiHidden/>
    <w:rsid w:val="00380E2F"/>
    <w:pPr>
      <w:tabs>
        <w:tab w:val="right" w:leader="dot" w:pos="9360"/>
      </w:tabs>
      <w:suppressAutoHyphens/>
      <w:ind w:left="1440" w:right="720" w:hanging="720"/>
    </w:pPr>
  </w:style>
  <w:style w:type="paragraph" w:styleId="TOC3">
    <w:name w:val="toc 3"/>
    <w:basedOn w:val="Normal"/>
    <w:next w:val="Normal"/>
    <w:autoRedefine/>
    <w:semiHidden/>
    <w:rsid w:val="00380E2F"/>
    <w:pPr>
      <w:tabs>
        <w:tab w:val="right" w:leader="dot" w:pos="9360"/>
      </w:tabs>
      <w:suppressAutoHyphens/>
      <w:ind w:left="2160" w:right="720" w:hanging="720"/>
    </w:pPr>
  </w:style>
  <w:style w:type="paragraph" w:styleId="TOC4">
    <w:name w:val="toc 4"/>
    <w:basedOn w:val="Normal"/>
    <w:next w:val="Normal"/>
    <w:autoRedefine/>
    <w:semiHidden/>
    <w:rsid w:val="00380E2F"/>
    <w:pPr>
      <w:tabs>
        <w:tab w:val="right" w:leader="dot" w:pos="9360"/>
      </w:tabs>
      <w:suppressAutoHyphens/>
      <w:ind w:left="2880" w:right="720" w:hanging="720"/>
    </w:pPr>
  </w:style>
  <w:style w:type="paragraph" w:styleId="TOC5">
    <w:name w:val="toc 5"/>
    <w:basedOn w:val="Normal"/>
    <w:next w:val="Normal"/>
    <w:autoRedefine/>
    <w:semiHidden/>
    <w:rsid w:val="00380E2F"/>
    <w:pPr>
      <w:tabs>
        <w:tab w:val="right" w:leader="dot" w:pos="9360"/>
      </w:tabs>
      <w:suppressAutoHyphens/>
      <w:ind w:left="3600" w:right="720" w:hanging="720"/>
    </w:pPr>
  </w:style>
  <w:style w:type="paragraph" w:styleId="TOC6">
    <w:name w:val="toc 6"/>
    <w:basedOn w:val="Normal"/>
    <w:next w:val="Normal"/>
    <w:autoRedefine/>
    <w:semiHidden/>
    <w:rsid w:val="00380E2F"/>
    <w:pPr>
      <w:tabs>
        <w:tab w:val="left" w:pos="360"/>
        <w:tab w:val="left" w:pos="1080"/>
        <w:tab w:val="left" w:pos="1440"/>
        <w:tab w:val="left" w:pos="1800"/>
        <w:tab w:val="left" w:pos="2160"/>
      </w:tabs>
      <w:ind w:left="360"/>
    </w:pPr>
    <w:rPr>
      <w:b/>
      <w:bCs/>
    </w:rPr>
  </w:style>
  <w:style w:type="paragraph" w:styleId="TOC7">
    <w:name w:val="toc 7"/>
    <w:basedOn w:val="Normal"/>
    <w:next w:val="Normal"/>
    <w:autoRedefine/>
    <w:semiHidden/>
    <w:rsid w:val="00380E2F"/>
    <w:pPr>
      <w:suppressAutoHyphens/>
      <w:ind w:left="720" w:hanging="720"/>
    </w:pPr>
  </w:style>
  <w:style w:type="paragraph" w:styleId="TOC8">
    <w:name w:val="toc 8"/>
    <w:basedOn w:val="Normal"/>
    <w:next w:val="Normal"/>
    <w:autoRedefine/>
    <w:semiHidden/>
    <w:rsid w:val="00380E2F"/>
    <w:pPr>
      <w:tabs>
        <w:tab w:val="right" w:pos="9360"/>
      </w:tabs>
      <w:suppressAutoHyphens/>
      <w:ind w:left="720" w:hanging="720"/>
    </w:pPr>
  </w:style>
  <w:style w:type="paragraph" w:styleId="TOC9">
    <w:name w:val="toc 9"/>
    <w:basedOn w:val="Normal"/>
    <w:next w:val="Normal"/>
    <w:autoRedefine/>
    <w:semiHidden/>
    <w:rsid w:val="00380E2F"/>
    <w:pPr>
      <w:tabs>
        <w:tab w:val="right" w:leader="dot" w:pos="9360"/>
      </w:tabs>
      <w:suppressAutoHyphens/>
      <w:ind w:left="720" w:hanging="720"/>
    </w:pPr>
  </w:style>
  <w:style w:type="paragraph" w:styleId="BodyTextIndent">
    <w:name w:val="Body Text Indent"/>
    <w:basedOn w:val="Normal"/>
    <w:rsid w:val="00380E2F"/>
    <w:pPr>
      <w:tabs>
        <w:tab w:val="left" w:pos="360"/>
        <w:tab w:val="left" w:pos="720"/>
        <w:tab w:val="left" w:pos="1080"/>
        <w:tab w:val="left" w:pos="1440"/>
        <w:tab w:val="left" w:pos="1800"/>
        <w:tab w:val="left" w:pos="2160"/>
      </w:tabs>
      <w:ind w:left="360"/>
    </w:pPr>
  </w:style>
  <w:style w:type="paragraph" w:styleId="BodyTextIndent2">
    <w:name w:val="Body Text Indent 2"/>
    <w:basedOn w:val="Normal"/>
    <w:rsid w:val="00380E2F"/>
    <w:pPr>
      <w:tabs>
        <w:tab w:val="left" w:pos="360"/>
        <w:tab w:val="left" w:pos="720"/>
        <w:tab w:val="left" w:pos="1080"/>
        <w:tab w:val="left" w:pos="1440"/>
        <w:tab w:val="left" w:pos="1800"/>
        <w:tab w:val="left" w:pos="2160"/>
      </w:tabs>
      <w:ind w:left="720" w:hanging="360"/>
    </w:pPr>
  </w:style>
  <w:style w:type="paragraph" w:styleId="BodyTextIndent3">
    <w:name w:val="Body Text Indent 3"/>
    <w:basedOn w:val="Normal"/>
    <w:rsid w:val="00380E2F"/>
    <w:pPr>
      <w:tabs>
        <w:tab w:val="left" w:pos="360"/>
      </w:tabs>
      <w:ind w:left="360" w:hanging="360"/>
    </w:pPr>
  </w:style>
  <w:style w:type="character" w:styleId="CommentReference">
    <w:name w:val="annotation reference"/>
    <w:basedOn w:val="DefaultParagraphFont"/>
    <w:semiHidden/>
    <w:rsid w:val="00380E2F"/>
    <w:rPr>
      <w:sz w:val="16"/>
      <w:szCs w:val="16"/>
    </w:rPr>
  </w:style>
  <w:style w:type="paragraph" w:styleId="BlockText">
    <w:name w:val="Block Text"/>
    <w:basedOn w:val="Normal"/>
    <w:rsid w:val="00380E2F"/>
    <w:pPr>
      <w:spacing w:after="120"/>
      <w:ind w:left="1440" w:right="1440"/>
    </w:pPr>
  </w:style>
  <w:style w:type="paragraph" w:styleId="BodyText">
    <w:name w:val="Body Text"/>
    <w:basedOn w:val="Normal"/>
    <w:rsid w:val="00380E2F"/>
    <w:pPr>
      <w:spacing w:after="120"/>
    </w:pPr>
  </w:style>
  <w:style w:type="paragraph" w:styleId="BodyText2">
    <w:name w:val="Body Text 2"/>
    <w:basedOn w:val="Normal"/>
    <w:rsid w:val="00380E2F"/>
    <w:pPr>
      <w:spacing w:after="120" w:line="480" w:lineRule="auto"/>
    </w:pPr>
  </w:style>
  <w:style w:type="paragraph" w:styleId="BodyText3">
    <w:name w:val="Body Text 3"/>
    <w:basedOn w:val="Normal"/>
    <w:rsid w:val="00380E2F"/>
    <w:pPr>
      <w:spacing w:after="120"/>
    </w:pPr>
    <w:rPr>
      <w:sz w:val="16"/>
      <w:szCs w:val="16"/>
    </w:rPr>
  </w:style>
  <w:style w:type="paragraph" w:styleId="BodyTextFirstIndent">
    <w:name w:val="Body Text First Indent"/>
    <w:basedOn w:val="BodyText"/>
    <w:rsid w:val="00380E2F"/>
    <w:pPr>
      <w:ind w:firstLine="210"/>
    </w:pPr>
  </w:style>
  <w:style w:type="paragraph" w:styleId="BodyTextFirstIndent2">
    <w:name w:val="Body Text First Indent 2"/>
    <w:basedOn w:val="BodyTextIndent"/>
    <w:rsid w:val="00380E2F"/>
    <w:pPr>
      <w:tabs>
        <w:tab w:val="clear" w:pos="360"/>
        <w:tab w:val="clear" w:pos="720"/>
        <w:tab w:val="clear" w:pos="1080"/>
        <w:tab w:val="clear" w:pos="1440"/>
        <w:tab w:val="clear" w:pos="1800"/>
        <w:tab w:val="clear" w:pos="2160"/>
      </w:tabs>
      <w:spacing w:after="120"/>
      <w:ind w:firstLine="210"/>
    </w:pPr>
  </w:style>
  <w:style w:type="paragraph" w:styleId="Closing">
    <w:name w:val="Closing"/>
    <w:basedOn w:val="Normal"/>
    <w:rsid w:val="00380E2F"/>
    <w:pPr>
      <w:ind w:left="4320"/>
    </w:pPr>
  </w:style>
  <w:style w:type="paragraph" w:styleId="Date">
    <w:name w:val="Date"/>
    <w:basedOn w:val="Normal"/>
    <w:next w:val="Normal"/>
    <w:rsid w:val="00380E2F"/>
  </w:style>
  <w:style w:type="paragraph" w:styleId="E-mailSignature">
    <w:name w:val="E-mail Signature"/>
    <w:basedOn w:val="Normal"/>
    <w:rsid w:val="00380E2F"/>
  </w:style>
  <w:style w:type="paragraph" w:styleId="EnvelopeAddress">
    <w:name w:val="envelope address"/>
    <w:basedOn w:val="Normal"/>
    <w:rsid w:val="00380E2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80E2F"/>
    <w:rPr>
      <w:rFonts w:ascii="Arial" w:hAnsi="Arial" w:cs="Arial"/>
      <w:sz w:val="20"/>
    </w:rPr>
  </w:style>
  <w:style w:type="paragraph" w:styleId="HTMLAddress">
    <w:name w:val="HTML Address"/>
    <w:basedOn w:val="Normal"/>
    <w:rsid w:val="00380E2F"/>
    <w:rPr>
      <w:i/>
      <w:iCs/>
    </w:rPr>
  </w:style>
  <w:style w:type="paragraph" w:styleId="HTMLPreformatted">
    <w:name w:val="HTML Preformatted"/>
    <w:basedOn w:val="Normal"/>
    <w:rsid w:val="00380E2F"/>
    <w:rPr>
      <w:rFonts w:ascii="Courier New" w:hAnsi="Courier New" w:cs="Courier New"/>
      <w:sz w:val="20"/>
    </w:rPr>
  </w:style>
  <w:style w:type="paragraph" w:styleId="Index3">
    <w:name w:val="index 3"/>
    <w:basedOn w:val="Normal"/>
    <w:next w:val="Normal"/>
    <w:autoRedefine/>
    <w:semiHidden/>
    <w:rsid w:val="00380E2F"/>
    <w:pPr>
      <w:ind w:left="720" w:hanging="240"/>
    </w:pPr>
  </w:style>
  <w:style w:type="paragraph" w:styleId="Index4">
    <w:name w:val="index 4"/>
    <w:basedOn w:val="Normal"/>
    <w:next w:val="Normal"/>
    <w:autoRedefine/>
    <w:semiHidden/>
    <w:rsid w:val="00380E2F"/>
    <w:pPr>
      <w:ind w:left="960" w:hanging="240"/>
    </w:pPr>
  </w:style>
  <w:style w:type="paragraph" w:styleId="Index5">
    <w:name w:val="index 5"/>
    <w:basedOn w:val="Normal"/>
    <w:next w:val="Normal"/>
    <w:autoRedefine/>
    <w:semiHidden/>
    <w:rsid w:val="00380E2F"/>
    <w:pPr>
      <w:ind w:left="1200" w:hanging="240"/>
    </w:pPr>
  </w:style>
  <w:style w:type="paragraph" w:styleId="Index6">
    <w:name w:val="index 6"/>
    <w:basedOn w:val="Normal"/>
    <w:next w:val="Normal"/>
    <w:autoRedefine/>
    <w:semiHidden/>
    <w:rsid w:val="00380E2F"/>
    <w:pPr>
      <w:ind w:left="1440" w:hanging="240"/>
    </w:pPr>
  </w:style>
  <w:style w:type="paragraph" w:styleId="Index7">
    <w:name w:val="index 7"/>
    <w:basedOn w:val="Normal"/>
    <w:next w:val="Normal"/>
    <w:autoRedefine/>
    <w:semiHidden/>
    <w:rsid w:val="00380E2F"/>
    <w:pPr>
      <w:ind w:left="1680" w:hanging="240"/>
    </w:pPr>
  </w:style>
  <w:style w:type="paragraph" w:styleId="Index8">
    <w:name w:val="index 8"/>
    <w:basedOn w:val="Normal"/>
    <w:next w:val="Normal"/>
    <w:autoRedefine/>
    <w:semiHidden/>
    <w:rsid w:val="00380E2F"/>
    <w:pPr>
      <w:ind w:left="1920" w:hanging="240"/>
    </w:pPr>
  </w:style>
  <w:style w:type="paragraph" w:styleId="Index9">
    <w:name w:val="index 9"/>
    <w:basedOn w:val="Normal"/>
    <w:next w:val="Normal"/>
    <w:autoRedefine/>
    <w:semiHidden/>
    <w:rsid w:val="00380E2F"/>
    <w:pPr>
      <w:ind w:left="2160" w:hanging="240"/>
    </w:pPr>
  </w:style>
  <w:style w:type="paragraph" w:styleId="IndexHeading">
    <w:name w:val="index heading"/>
    <w:basedOn w:val="Normal"/>
    <w:next w:val="Index1"/>
    <w:semiHidden/>
    <w:rsid w:val="00380E2F"/>
    <w:rPr>
      <w:rFonts w:ascii="Arial" w:hAnsi="Arial" w:cs="Arial"/>
      <w:b/>
      <w:bCs/>
    </w:rPr>
  </w:style>
  <w:style w:type="paragraph" w:styleId="List">
    <w:name w:val="List"/>
    <w:basedOn w:val="Normal"/>
    <w:rsid w:val="00380E2F"/>
    <w:pPr>
      <w:ind w:left="360" w:hanging="360"/>
    </w:pPr>
  </w:style>
  <w:style w:type="paragraph" w:styleId="List2">
    <w:name w:val="List 2"/>
    <w:basedOn w:val="Normal"/>
    <w:rsid w:val="00380E2F"/>
    <w:pPr>
      <w:ind w:left="720" w:hanging="360"/>
    </w:pPr>
  </w:style>
  <w:style w:type="paragraph" w:styleId="List3">
    <w:name w:val="List 3"/>
    <w:basedOn w:val="Normal"/>
    <w:rsid w:val="00380E2F"/>
    <w:pPr>
      <w:ind w:left="1080" w:hanging="360"/>
    </w:pPr>
  </w:style>
  <w:style w:type="paragraph" w:styleId="List4">
    <w:name w:val="List 4"/>
    <w:basedOn w:val="Normal"/>
    <w:rsid w:val="00380E2F"/>
    <w:pPr>
      <w:ind w:left="1440" w:hanging="360"/>
    </w:pPr>
  </w:style>
  <w:style w:type="paragraph" w:styleId="List5">
    <w:name w:val="List 5"/>
    <w:basedOn w:val="Normal"/>
    <w:rsid w:val="00380E2F"/>
    <w:pPr>
      <w:ind w:left="1800" w:hanging="360"/>
    </w:pPr>
  </w:style>
  <w:style w:type="paragraph" w:styleId="ListBullet">
    <w:name w:val="List Bullet"/>
    <w:basedOn w:val="Normal"/>
    <w:autoRedefine/>
    <w:rsid w:val="00380E2F"/>
    <w:pPr>
      <w:numPr>
        <w:numId w:val="8"/>
      </w:numPr>
    </w:pPr>
  </w:style>
  <w:style w:type="paragraph" w:styleId="ListBullet2">
    <w:name w:val="List Bullet 2"/>
    <w:basedOn w:val="Normal"/>
    <w:autoRedefine/>
    <w:rsid w:val="00380E2F"/>
    <w:pPr>
      <w:numPr>
        <w:numId w:val="9"/>
      </w:numPr>
    </w:pPr>
  </w:style>
  <w:style w:type="paragraph" w:styleId="ListBullet3">
    <w:name w:val="List Bullet 3"/>
    <w:basedOn w:val="Normal"/>
    <w:autoRedefine/>
    <w:rsid w:val="00380E2F"/>
    <w:pPr>
      <w:numPr>
        <w:numId w:val="10"/>
      </w:numPr>
    </w:pPr>
  </w:style>
  <w:style w:type="paragraph" w:styleId="ListBullet4">
    <w:name w:val="List Bullet 4"/>
    <w:basedOn w:val="Normal"/>
    <w:autoRedefine/>
    <w:rsid w:val="00380E2F"/>
    <w:pPr>
      <w:numPr>
        <w:numId w:val="11"/>
      </w:numPr>
    </w:pPr>
  </w:style>
  <w:style w:type="paragraph" w:styleId="ListBullet5">
    <w:name w:val="List Bullet 5"/>
    <w:basedOn w:val="Normal"/>
    <w:autoRedefine/>
    <w:rsid w:val="00380E2F"/>
    <w:pPr>
      <w:numPr>
        <w:numId w:val="12"/>
      </w:numPr>
    </w:pPr>
  </w:style>
  <w:style w:type="paragraph" w:styleId="ListContinue">
    <w:name w:val="List Continue"/>
    <w:basedOn w:val="Normal"/>
    <w:rsid w:val="00380E2F"/>
    <w:pPr>
      <w:spacing w:after="120"/>
      <w:ind w:left="360"/>
    </w:pPr>
  </w:style>
  <w:style w:type="paragraph" w:styleId="ListContinue2">
    <w:name w:val="List Continue 2"/>
    <w:basedOn w:val="Normal"/>
    <w:rsid w:val="00380E2F"/>
    <w:pPr>
      <w:spacing w:after="120"/>
      <w:ind w:left="720"/>
    </w:pPr>
  </w:style>
  <w:style w:type="paragraph" w:styleId="ListContinue3">
    <w:name w:val="List Continue 3"/>
    <w:basedOn w:val="Normal"/>
    <w:rsid w:val="00380E2F"/>
    <w:pPr>
      <w:spacing w:after="120"/>
      <w:ind w:left="1080"/>
    </w:pPr>
  </w:style>
  <w:style w:type="paragraph" w:styleId="ListContinue4">
    <w:name w:val="List Continue 4"/>
    <w:basedOn w:val="Normal"/>
    <w:rsid w:val="00380E2F"/>
    <w:pPr>
      <w:spacing w:after="120"/>
      <w:ind w:left="1440"/>
    </w:pPr>
  </w:style>
  <w:style w:type="paragraph" w:styleId="ListContinue5">
    <w:name w:val="List Continue 5"/>
    <w:basedOn w:val="Normal"/>
    <w:rsid w:val="00380E2F"/>
    <w:pPr>
      <w:spacing w:after="120"/>
      <w:ind w:left="1800"/>
    </w:pPr>
  </w:style>
  <w:style w:type="paragraph" w:styleId="ListNumber">
    <w:name w:val="List Number"/>
    <w:basedOn w:val="Normal"/>
    <w:rsid w:val="00380E2F"/>
    <w:pPr>
      <w:numPr>
        <w:numId w:val="13"/>
      </w:numPr>
    </w:pPr>
  </w:style>
  <w:style w:type="paragraph" w:styleId="ListNumber2">
    <w:name w:val="List Number 2"/>
    <w:basedOn w:val="Normal"/>
    <w:rsid w:val="00380E2F"/>
    <w:pPr>
      <w:numPr>
        <w:numId w:val="14"/>
      </w:numPr>
    </w:pPr>
  </w:style>
  <w:style w:type="paragraph" w:styleId="ListNumber3">
    <w:name w:val="List Number 3"/>
    <w:basedOn w:val="Normal"/>
    <w:rsid w:val="00380E2F"/>
    <w:pPr>
      <w:numPr>
        <w:numId w:val="15"/>
      </w:numPr>
    </w:pPr>
  </w:style>
  <w:style w:type="paragraph" w:styleId="ListNumber4">
    <w:name w:val="List Number 4"/>
    <w:basedOn w:val="Normal"/>
    <w:rsid w:val="00380E2F"/>
    <w:pPr>
      <w:numPr>
        <w:numId w:val="16"/>
      </w:numPr>
    </w:pPr>
  </w:style>
  <w:style w:type="paragraph" w:styleId="ListNumber5">
    <w:name w:val="List Number 5"/>
    <w:basedOn w:val="Normal"/>
    <w:rsid w:val="00380E2F"/>
    <w:pPr>
      <w:numPr>
        <w:numId w:val="17"/>
      </w:numPr>
    </w:pPr>
  </w:style>
  <w:style w:type="paragraph" w:styleId="MacroText">
    <w:name w:val="macro"/>
    <w:semiHidden/>
    <w:rsid w:val="00380E2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380E2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380E2F"/>
    <w:rPr>
      <w:szCs w:val="24"/>
    </w:rPr>
  </w:style>
  <w:style w:type="paragraph" w:styleId="NormalIndent">
    <w:name w:val="Normal Indent"/>
    <w:basedOn w:val="Normal"/>
    <w:rsid w:val="00380E2F"/>
    <w:pPr>
      <w:ind w:left="720"/>
    </w:pPr>
  </w:style>
  <w:style w:type="paragraph" w:styleId="NoteHeading">
    <w:name w:val="Note Heading"/>
    <w:basedOn w:val="Normal"/>
    <w:next w:val="Normal"/>
    <w:rsid w:val="00380E2F"/>
  </w:style>
  <w:style w:type="paragraph" w:styleId="Salutation">
    <w:name w:val="Salutation"/>
    <w:basedOn w:val="Normal"/>
    <w:next w:val="Normal"/>
    <w:rsid w:val="00380E2F"/>
  </w:style>
  <w:style w:type="paragraph" w:styleId="Signature">
    <w:name w:val="Signature"/>
    <w:basedOn w:val="Normal"/>
    <w:rsid w:val="00380E2F"/>
    <w:pPr>
      <w:ind w:left="4320"/>
    </w:pPr>
  </w:style>
  <w:style w:type="paragraph" w:styleId="Subtitle">
    <w:name w:val="Subtitle"/>
    <w:basedOn w:val="Normal"/>
    <w:qFormat/>
    <w:rsid w:val="00380E2F"/>
    <w:pPr>
      <w:spacing w:after="60"/>
      <w:jc w:val="center"/>
      <w:outlineLvl w:val="1"/>
    </w:pPr>
    <w:rPr>
      <w:rFonts w:ascii="Arial" w:hAnsi="Arial" w:cs="Arial"/>
      <w:szCs w:val="24"/>
    </w:rPr>
  </w:style>
  <w:style w:type="paragraph" w:styleId="TableofAuthorities">
    <w:name w:val="table of authorities"/>
    <w:basedOn w:val="Normal"/>
    <w:next w:val="Normal"/>
    <w:semiHidden/>
    <w:rsid w:val="00380E2F"/>
    <w:pPr>
      <w:ind w:left="240" w:hanging="240"/>
    </w:pPr>
  </w:style>
  <w:style w:type="paragraph" w:styleId="TableofFigures">
    <w:name w:val="table of figures"/>
    <w:basedOn w:val="Normal"/>
    <w:next w:val="Normal"/>
    <w:semiHidden/>
    <w:rsid w:val="00380E2F"/>
    <w:pPr>
      <w:ind w:left="480" w:hanging="480"/>
    </w:pPr>
  </w:style>
  <w:style w:type="paragraph" w:styleId="Title">
    <w:name w:val="Title"/>
    <w:basedOn w:val="Normal"/>
    <w:qFormat/>
    <w:rsid w:val="00380E2F"/>
    <w:pPr>
      <w:spacing w:before="240" w:after="60"/>
      <w:jc w:val="center"/>
      <w:outlineLvl w:val="0"/>
    </w:pPr>
    <w:rPr>
      <w:rFonts w:ascii="Arial" w:hAnsi="Arial" w:cs="Arial"/>
      <w:b/>
      <w:bCs/>
      <w:kern w:val="28"/>
      <w:sz w:val="32"/>
      <w:szCs w:val="32"/>
    </w:rPr>
  </w:style>
  <w:style w:type="paragraph" w:styleId="ListParagraph">
    <w:name w:val="List Paragraph"/>
    <w:basedOn w:val="Normal"/>
    <w:link w:val="ListParagraphChar"/>
    <w:uiPriority w:val="34"/>
    <w:qFormat/>
    <w:rsid w:val="009216D2"/>
    <w:pPr>
      <w:ind w:left="720"/>
      <w:contextualSpacing/>
    </w:pPr>
  </w:style>
  <w:style w:type="paragraph" w:styleId="NoSpacing">
    <w:name w:val="No Spacing"/>
    <w:uiPriority w:val="1"/>
    <w:qFormat/>
    <w:rsid w:val="003520ED"/>
    <w:rPr>
      <w:rFonts w:asciiTheme="minorHAnsi" w:eastAsiaTheme="minorHAnsi" w:hAnsiTheme="minorHAnsi" w:cstheme="minorBidi"/>
      <w:sz w:val="22"/>
      <w:szCs w:val="22"/>
    </w:rPr>
  </w:style>
  <w:style w:type="character" w:styleId="Strong">
    <w:name w:val="Strong"/>
    <w:uiPriority w:val="22"/>
    <w:qFormat/>
    <w:rsid w:val="003520ED"/>
    <w:rPr>
      <w:b/>
      <w:bCs/>
    </w:rPr>
  </w:style>
  <w:style w:type="paragraph" w:customStyle="1" w:styleId="Default">
    <w:name w:val="Default"/>
    <w:rsid w:val="003520ED"/>
    <w:pPr>
      <w:autoSpaceDE w:val="0"/>
      <w:autoSpaceDN w:val="0"/>
      <w:adjustRightInd w:val="0"/>
    </w:pPr>
    <w:rPr>
      <w:rFonts w:eastAsia="Calibri"/>
      <w:color w:val="000000"/>
      <w:sz w:val="24"/>
      <w:szCs w:val="24"/>
    </w:rPr>
  </w:style>
  <w:style w:type="table" w:styleId="TableGrid">
    <w:name w:val="Table Grid"/>
    <w:basedOn w:val="TableNormal"/>
    <w:uiPriority w:val="39"/>
    <w:rsid w:val="009A3D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26BC4"/>
    <w:rPr>
      <w:rFonts w:ascii="Segoe UI" w:hAnsi="Segoe UI" w:cs="Segoe UI"/>
      <w:sz w:val="18"/>
      <w:szCs w:val="18"/>
    </w:rPr>
  </w:style>
  <w:style w:type="character" w:customStyle="1" w:styleId="BalloonTextChar">
    <w:name w:val="Balloon Text Char"/>
    <w:basedOn w:val="DefaultParagraphFont"/>
    <w:link w:val="BalloonText"/>
    <w:semiHidden/>
    <w:rsid w:val="00226BC4"/>
    <w:rPr>
      <w:rFonts w:ascii="Segoe UI" w:hAnsi="Segoe UI" w:cs="Segoe UI"/>
      <w:snapToGrid w:val="0"/>
      <w:sz w:val="18"/>
      <w:szCs w:val="18"/>
    </w:rPr>
  </w:style>
  <w:style w:type="paragraph" w:styleId="CommentSubject">
    <w:name w:val="annotation subject"/>
    <w:basedOn w:val="CommentText"/>
    <w:next w:val="CommentText"/>
    <w:link w:val="CommentSubjectChar"/>
    <w:semiHidden/>
    <w:unhideWhenUsed/>
    <w:rsid w:val="006A2A4B"/>
    <w:pPr>
      <w:jc w:val="left"/>
    </w:pPr>
    <w:rPr>
      <w:rFonts w:ascii="Times New Roman" w:hAnsi="Times New Roman"/>
      <w:b/>
      <w:bCs/>
      <w:sz w:val="20"/>
    </w:rPr>
  </w:style>
  <w:style w:type="character" w:customStyle="1" w:styleId="CommentTextChar">
    <w:name w:val="Comment Text Char"/>
    <w:basedOn w:val="DefaultParagraphFont"/>
    <w:link w:val="CommentText"/>
    <w:semiHidden/>
    <w:rsid w:val="006A2A4B"/>
    <w:rPr>
      <w:rFonts w:ascii="Arial" w:hAnsi="Arial"/>
      <w:snapToGrid w:val="0"/>
      <w:sz w:val="18"/>
    </w:rPr>
  </w:style>
  <w:style w:type="character" w:customStyle="1" w:styleId="CommentSubjectChar">
    <w:name w:val="Comment Subject Char"/>
    <w:basedOn w:val="CommentTextChar"/>
    <w:link w:val="CommentSubject"/>
    <w:semiHidden/>
    <w:rsid w:val="006A2A4B"/>
    <w:rPr>
      <w:rFonts w:ascii="Arial" w:hAnsi="Arial"/>
      <w:b/>
      <w:bCs/>
      <w:snapToGrid w:val="0"/>
      <w:sz w:val="18"/>
    </w:rPr>
  </w:style>
  <w:style w:type="character" w:customStyle="1" w:styleId="ListParagraphChar">
    <w:name w:val="List Paragraph Char"/>
    <w:basedOn w:val="DefaultParagraphFont"/>
    <w:link w:val="ListParagraph"/>
    <w:uiPriority w:val="34"/>
    <w:rsid w:val="0043203F"/>
    <w:rPr>
      <w:snapToGrid w:val="0"/>
      <w:sz w:val="24"/>
    </w:rPr>
  </w:style>
  <w:style w:type="paragraph" w:styleId="Revision">
    <w:name w:val="Revision"/>
    <w:hidden/>
    <w:uiPriority w:val="99"/>
    <w:semiHidden/>
    <w:rsid w:val="007A2105"/>
    <w:rPr>
      <w:snapToGrid w:val="0"/>
      <w:sz w:val="24"/>
    </w:rPr>
  </w:style>
  <w:style w:type="character" w:customStyle="1" w:styleId="EndnoteTextChar">
    <w:name w:val="Endnote Text Char"/>
    <w:basedOn w:val="DefaultParagraphFont"/>
    <w:link w:val="EndnoteText"/>
    <w:semiHidden/>
    <w:rsid w:val="00BF6AC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870">
      <w:bodyDiv w:val="1"/>
      <w:marLeft w:val="0"/>
      <w:marRight w:val="0"/>
      <w:marTop w:val="0"/>
      <w:marBottom w:val="0"/>
      <w:divBdr>
        <w:top w:val="none" w:sz="0" w:space="0" w:color="auto"/>
        <w:left w:val="none" w:sz="0" w:space="0" w:color="auto"/>
        <w:bottom w:val="none" w:sz="0" w:space="0" w:color="auto"/>
        <w:right w:val="none" w:sz="0" w:space="0" w:color="auto"/>
      </w:divBdr>
    </w:div>
    <w:div w:id="38364206">
      <w:bodyDiv w:val="1"/>
      <w:marLeft w:val="0"/>
      <w:marRight w:val="0"/>
      <w:marTop w:val="0"/>
      <w:marBottom w:val="0"/>
      <w:divBdr>
        <w:top w:val="none" w:sz="0" w:space="0" w:color="auto"/>
        <w:left w:val="none" w:sz="0" w:space="0" w:color="auto"/>
        <w:bottom w:val="none" w:sz="0" w:space="0" w:color="auto"/>
        <w:right w:val="none" w:sz="0" w:space="0" w:color="auto"/>
      </w:divBdr>
    </w:div>
    <w:div w:id="72747613">
      <w:bodyDiv w:val="1"/>
      <w:marLeft w:val="0"/>
      <w:marRight w:val="0"/>
      <w:marTop w:val="0"/>
      <w:marBottom w:val="0"/>
      <w:divBdr>
        <w:top w:val="none" w:sz="0" w:space="0" w:color="auto"/>
        <w:left w:val="none" w:sz="0" w:space="0" w:color="auto"/>
        <w:bottom w:val="none" w:sz="0" w:space="0" w:color="auto"/>
        <w:right w:val="none" w:sz="0" w:space="0" w:color="auto"/>
      </w:divBdr>
    </w:div>
    <w:div w:id="114257463">
      <w:bodyDiv w:val="1"/>
      <w:marLeft w:val="0"/>
      <w:marRight w:val="0"/>
      <w:marTop w:val="0"/>
      <w:marBottom w:val="0"/>
      <w:divBdr>
        <w:top w:val="none" w:sz="0" w:space="0" w:color="auto"/>
        <w:left w:val="none" w:sz="0" w:space="0" w:color="auto"/>
        <w:bottom w:val="none" w:sz="0" w:space="0" w:color="auto"/>
        <w:right w:val="none" w:sz="0" w:space="0" w:color="auto"/>
      </w:divBdr>
    </w:div>
    <w:div w:id="310646687">
      <w:bodyDiv w:val="1"/>
      <w:marLeft w:val="0"/>
      <w:marRight w:val="0"/>
      <w:marTop w:val="0"/>
      <w:marBottom w:val="0"/>
      <w:divBdr>
        <w:top w:val="none" w:sz="0" w:space="0" w:color="auto"/>
        <w:left w:val="none" w:sz="0" w:space="0" w:color="auto"/>
        <w:bottom w:val="none" w:sz="0" w:space="0" w:color="auto"/>
        <w:right w:val="none" w:sz="0" w:space="0" w:color="auto"/>
      </w:divBdr>
    </w:div>
    <w:div w:id="371080605">
      <w:bodyDiv w:val="1"/>
      <w:marLeft w:val="0"/>
      <w:marRight w:val="0"/>
      <w:marTop w:val="0"/>
      <w:marBottom w:val="0"/>
      <w:divBdr>
        <w:top w:val="none" w:sz="0" w:space="0" w:color="auto"/>
        <w:left w:val="none" w:sz="0" w:space="0" w:color="auto"/>
        <w:bottom w:val="none" w:sz="0" w:space="0" w:color="auto"/>
        <w:right w:val="none" w:sz="0" w:space="0" w:color="auto"/>
      </w:divBdr>
    </w:div>
    <w:div w:id="413936396">
      <w:bodyDiv w:val="1"/>
      <w:marLeft w:val="0"/>
      <w:marRight w:val="0"/>
      <w:marTop w:val="0"/>
      <w:marBottom w:val="0"/>
      <w:divBdr>
        <w:top w:val="none" w:sz="0" w:space="0" w:color="auto"/>
        <w:left w:val="none" w:sz="0" w:space="0" w:color="auto"/>
        <w:bottom w:val="none" w:sz="0" w:space="0" w:color="auto"/>
        <w:right w:val="none" w:sz="0" w:space="0" w:color="auto"/>
      </w:divBdr>
    </w:div>
    <w:div w:id="443312421">
      <w:bodyDiv w:val="1"/>
      <w:marLeft w:val="0"/>
      <w:marRight w:val="0"/>
      <w:marTop w:val="0"/>
      <w:marBottom w:val="0"/>
      <w:divBdr>
        <w:top w:val="none" w:sz="0" w:space="0" w:color="auto"/>
        <w:left w:val="none" w:sz="0" w:space="0" w:color="auto"/>
        <w:bottom w:val="none" w:sz="0" w:space="0" w:color="auto"/>
        <w:right w:val="none" w:sz="0" w:space="0" w:color="auto"/>
      </w:divBdr>
    </w:div>
    <w:div w:id="451703801">
      <w:bodyDiv w:val="1"/>
      <w:marLeft w:val="0"/>
      <w:marRight w:val="0"/>
      <w:marTop w:val="0"/>
      <w:marBottom w:val="0"/>
      <w:divBdr>
        <w:top w:val="none" w:sz="0" w:space="0" w:color="auto"/>
        <w:left w:val="none" w:sz="0" w:space="0" w:color="auto"/>
        <w:bottom w:val="none" w:sz="0" w:space="0" w:color="auto"/>
        <w:right w:val="none" w:sz="0" w:space="0" w:color="auto"/>
      </w:divBdr>
    </w:div>
    <w:div w:id="632246716">
      <w:bodyDiv w:val="1"/>
      <w:marLeft w:val="0"/>
      <w:marRight w:val="0"/>
      <w:marTop w:val="0"/>
      <w:marBottom w:val="0"/>
      <w:divBdr>
        <w:top w:val="none" w:sz="0" w:space="0" w:color="auto"/>
        <w:left w:val="none" w:sz="0" w:space="0" w:color="auto"/>
        <w:bottom w:val="none" w:sz="0" w:space="0" w:color="auto"/>
        <w:right w:val="none" w:sz="0" w:space="0" w:color="auto"/>
      </w:divBdr>
    </w:div>
    <w:div w:id="652567928">
      <w:bodyDiv w:val="1"/>
      <w:marLeft w:val="0"/>
      <w:marRight w:val="0"/>
      <w:marTop w:val="0"/>
      <w:marBottom w:val="0"/>
      <w:divBdr>
        <w:top w:val="none" w:sz="0" w:space="0" w:color="auto"/>
        <w:left w:val="none" w:sz="0" w:space="0" w:color="auto"/>
        <w:bottom w:val="none" w:sz="0" w:space="0" w:color="auto"/>
        <w:right w:val="none" w:sz="0" w:space="0" w:color="auto"/>
      </w:divBdr>
    </w:div>
    <w:div w:id="660696747">
      <w:bodyDiv w:val="1"/>
      <w:marLeft w:val="0"/>
      <w:marRight w:val="0"/>
      <w:marTop w:val="0"/>
      <w:marBottom w:val="0"/>
      <w:divBdr>
        <w:top w:val="none" w:sz="0" w:space="0" w:color="auto"/>
        <w:left w:val="none" w:sz="0" w:space="0" w:color="auto"/>
        <w:bottom w:val="none" w:sz="0" w:space="0" w:color="auto"/>
        <w:right w:val="none" w:sz="0" w:space="0" w:color="auto"/>
      </w:divBdr>
    </w:div>
    <w:div w:id="893124757">
      <w:bodyDiv w:val="1"/>
      <w:marLeft w:val="0"/>
      <w:marRight w:val="0"/>
      <w:marTop w:val="0"/>
      <w:marBottom w:val="0"/>
      <w:divBdr>
        <w:top w:val="none" w:sz="0" w:space="0" w:color="auto"/>
        <w:left w:val="none" w:sz="0" w:space="0" w:color="auto"/>
        <w:bottom w:val="none" w:sz="0" w:space="0" w:color="auto"/>
        <w:right w:val="none" w:sz="0" w:space="0" w:color="auto"/>
      </w:divBdr>
    </w:div>
    <w:div w:id="912590284">
      <w:bodyDiv w:val="1"/>
      <w:marLeft w:val="0"/>
      <w:marRight w:val="0"/>
      <w:marTop w:val="0"/>
      <w:marBottom w:val="0"/>
      <w:divBdr>
        <w:top w:val="none" w:sz="0" w:space="0" w:color="auto"/>
        <w:left w:val="none" w:sz="0" w:space="0" w:color="auto"/>
        <w:bottom w:val="none" w:sz="0" w:space="0" w:color="auto"/>
        <w:right w:val="none" w:sz="0" w:space="0" w:color="auto"/>
      </w:divBdr>
    </w:div>
    <w:div w:id="983853421">
      <w:bodyDiv w:val="1"/>
      <w:marLeft w:val="0"/>
      <w:marRight w:val="0"/>
      <w:marTop w:val="0"/>
      <w:marBottom w:val="0"/>
      <w:divBdr>
        <w:top w:val="none" w:sz="0" w:space="0" w:color="auto"/>
        <w:left w:val="none" w:sz="0" w:space="0" w:color="auto"/>
        <w:bottom w:val="none" w:sz="0" w:space="0" w:color="auto"/>
        <w:right w:val="none" w:sz="0" w:space="0" w:color="auto"/>
      </w:divBdr>
    </w:div>
    <w:div w:id="1027414650">
      <w:bodyDiv w:val="1"/>
      <w:marLeft w:val="0"/>
      <w:marRight w:val="0"/>
      <w:marTop w:val="0"/>
      <w:marBottom w:val="0"/>
      <w:divBdr>
        <w:top w:val="none" w:sz="0" w:space="0" w:color="auto"/>
        <w:left w:val="none" w:sz="0" w:space="0" w:color="auto"/>
        <w:bottom w:val="none" w:sz="0" w:space="0" w:color="auto"/>
        <w:right w:val="none" w:sz="0" w:space="0" w:color="auto"/>
      </w:divBdr>
    </w:div>
    <w:div w:id="1039890909">
      <w:bodyDiv w:val="1"/>
      <w:marLeft w:val="0"/>
      <w:marRight w:val="0"/>
      <w:marTop w:val="0"/>
      <w:marBottom w:val="0"/>
      <w:divBdr>
        <w:top w:val="none" w:sz="0" w:space="0" w:color="auto"/>
        <w:left w:val="none" w:sz="0" w:space="0" w:color="auto"/>
        <w:bottom w:val="none" w:sz="0" w:space="0" w:color="auto"/>
        <w:right w:val="none" w:sz="0" w:space="0" w:color="auto"/>
      </w:divBdr>
    </w:div>
    <w:div w:id="1251622194">
      <w:bodyDiv w:val="1"/>
      <w:marLeft w:val="0"/>
      <w:marRight w:val="0"/>
      <w:marTop w:val="0"/>
      <w:marBottom w:val="0"/>
      <w:divBdr>
        <w:top w:val="none" w:sz="0" w:space="0" w:color="auto"/>
        <w:left w:val="none" w:sz="0" w:space="0" w:color="auto"/>
        <w:bottom w:val="none" w:sz="0" w:space="0" w:color="auto"/>
        <w:right w:val="none" w:sz="0" w:space="0" w:color="auto"/>
      </w:divBdr>
      <w:divsChild>
        <w:div w:id="848369477">
          <w:marLeft w:val="1166"/>
          <w:marRight w:val="0"/>
          <w:marTop w:val="0"/>
          <w:marBottom w:val="0"/>
          <w:divBdr>
            <w:top w:val="none" w:sz="0" w:space="0" w:color="auto"/>
            <w:left w:val="none" w:sz="0" w:space="0" w:color="auto"/>
            <w:bottom w:val="none" w:sz="0" w:space="0" w:color="auto"/>
            <w:right w:val="none" w:sz="0" w:space="0" w:color="auto"/>
          </w:divBdr>
        </w:div>
      </w:divsChild>
    </w:div>
    <w:div w:id="1260211453">
      <w:bodyDiv w:val="1"/>
      <w:marLeft w:val="0"/>
      <w:marRight w:val="0"/>
      <w:marTop w:val="0"/>
      <w:marBottom w:val="0"/>
      <w:divBdr>
        <w:top w:val="none" w:sz="0" w:space="0" w:color="auto"/>
        <w:left w:val="none" w:sz="0" w:space="0" w:color="auto"/>
        <w:bottom w:val="none" w:sz="0" w:space="0" w:color="auto"/>
        <w:right w:val="none" w:sz="0" w:space="0" w:color="auto"/>
      </w:divBdr>
    </w:div>
    <w:div w:id="1272475842">
      <w:bodyDiv w:val="1"/>
      <w:marLeft w:val="0"/>
      <w:marRight w:val="0"/>
      <w:marTop w:val="0"/>
      <w:marBottom w:val="0"/>
      <w:divBdr>
        <w:top w:val="none" w:sz="0" w:space="0" w:color="auto"/>
        <w:left w:val="none" w:sz="0" w:space="0" w:color="auto"/>
        <w:bottom w:val="none" w:sz="0" w:space="0" w:color="auto"/>
        <w:right w:val="none" w:sz="0" w:space="0" w:color="auto"/>
      </w:divBdr>
    </w:div>
    <w:div w:id="1317152707">
      <w:bodyDiv w:val="1"/>
      <w:marLeft w:val="0"/>
      <w:marRight w:val="0"/>
      <w:marTop w:val="0"/>
      <w:marBottom w:val="0"/>
      <w:divBdr>
        <w:top w:val="none" w:sz="0" w:space="0" w:color="auto"/>
        <w:left w:val="none" w:sz="0" w:space="0" w:color="auto"/>
        <w:bottom w:val="none" w:sz="0" w:space="0" w:color="auto"/>
        <w:right w:val="none" w:sz="0" w:space="0" w:color="auto"/>
      </w:divBdr>
    </w:div>
    <w:div w:id="1372463597">
      <w:bodyDiv w:val="1"/>
      <w:marLeft w:val="0"/>
      <w:marRight w:val="0"/>
      <w:marTop w:val="0"/>
      <w:marBottom w:val="0"/>
      <w:divBdr>
        <w:top w:val="none" w:sz="0" w:space="0" w:color="auto"/>
        <w:left w:val="none" w:sz="0" w:space="0" w:color="auto"/>
        <w:bottom w:val="none" w:sz="0" w:space="0" w:color="auto"/>
        <w:right w:val="none" w:sz="0" w:space="0" w:color="auto"/>
      </w:divBdr>
    </w:div>
    <w:div w:id="1420908190">
      <w:bodyDiv w:val="1"/>
      <w:marLeft w:val="0"/>
      <w:marRight w:val="0"/>
      <w:marTop w:val="0"/>
      <w:marBottom w:val="0"/>
      <w:divBdr>
        <w:top w:val="none" w:sz="0" w:space="0" w:color="auto"/>
        <w:left w:val="none" w:sz="0" w:space="0" w:color="auto"/>
        <w:bottom w:val="none" w:sz="0" w:space="0" w:color="auto"/>
        <w:right w:val="none" w:sz="0" w:space="0" w:color="auto"/>
      </w:divBdr>
    </w:div>
    <w:div w:id="1470241625">
      <w:bodyDiv w:val="1"/>
      <w:marLeft w:val="0"/>
      <w:marRight w:val="0"/>
      <w:marTop w:val="0"/>
      <w:marBottom w:val="0"/>
      <w:divBdr>
        <w:top w:val="none" w:sz="0" w:space="0" w:color="auto"/>
        <w:left w:val="none" w:sz="0" w:space="0" w:color="auto"/>
        <w:bottom w:val="none" w:sz="0" w:space="0" w:color="auto"/>
        <w:right w:val="none" w:sz="0" w:space="0" w:color="auto"/>
      </w:divBdr>
    </w:div>
    <w:div w:id="1483043796">
      <w:bodyDiv w:val="1"/>
      <w:marLeft w:val="0"/>
      <w:marRight w:val="0"/>
      <w:marTop w:val="0"/>
      <w:marBottom w:val="0"/>
      <w:divBdr>
        <w:top w:val="none" w:sz="0" w:space="0" w:color="auto"/>
        <w:left w:val="none" w:sz="0" w:space="0" w:color="auto"/>
        <w:bottom w:val="none" w:sz="0" w:space="0" w:color="auto"/>
        <w:right w:val="none" w:sz="0" w:space="0" w:color="auto"/>
      </w:divBdr>
      <w:divsChild>
        <w:div w:id="579631983">
          <w:marLeft w:val="547"/>
          <w:marRight w:val="0"/>
          <w:marTop w:val="0"/>
          <w:marBottom w:val="160"/>
          <w:divBdr>
            <w:top w:val="none" w:sz="0" w:space="0" w:color="auto"/>
            <w:left w:val="none" w:sz="0" w:space="0" w:color="auto"/>
            <w:bottom w:val="none" w:sz="0" w:space="0" w:color="auto"/>
            <w:right w:val="none" w:sz="0" w:space="0" w:color="auto"/>
          </w:divBdr>
        </w:div>
        <w:div w:id="898512345">
          <w:marLeft w:val="1166"/>
          <w:marRight w:val="0"/>
          <w:marTop w:val="0"/>
          <w:marBottom w:val="160"/>
          <w:divBdr>
            <w:top w:val="none" w:sz="0" w:space="0" w:color="auto"/>
            <w:left w:val="none" w:sz="0" w:space="0" w:color="auto"/>
            <w:bottom w:val="none" w:sz="0" w:space="0" w:color="auto"/>
            <w:right w:val="none" w:sz="0" w:space="0" w:color="auto"/>
          </w:divBdr>
        </w:div>
        <w:div w:id="183371845">
          <w:marLeft w:val="1166"/>
          <w:marRight w:val="0"/>
          <w:marTop w:val="0"/>
          <w:marBottom w:val="160"/>
          <w:divBdr>
            <w:top w:val="none" w:sz="0" w:space="0" w:color="auto"/>
            <w:left w:val="none" w:sz="0" w:space="0" w:color="auto"/>
            <w:bottom w:val="none" w:sz="0" w:space="0" w:color="auto"/>
            <w:right w:val="none" w:sz="0" w:space="0" w:color="auto"/>
          </w:divBdr>
        </w:div>
      </w:divsChild>
    </w:div>
    <w:div w:id="1491747911">
      <w:bodyDiv w:val="1"/>
      <w:marLeft w:val="0"/>
      <w:marRight w:val="0"/>
      <w:marTop w:val="0"/>
      <w:marBottom w:val="0"/>
      <w:divBdr>
        <w:top w:val="none" w:sz="0" w:space="0" w:color="auto"/>
        <w:left w:val="none" w:sz="0" w:space="0" w:color="auto"/>
        <w:bottom w:val="none" w:sz="0" w:space="0" w:color="auto"/>
        <w:right w:val="none" w:sz="0" w:space="0" w:color="auto"/>
      </w:divBdr>
      <w:divsChild>
        <w:div w:id="1467091527">
          <w:marLeft w:val="0"/>
          <w:marRight w:val="0"/>
          <w:marTop w:val="0"/>
          <w:marBottom w:val="0"/>
          <w:divBdr>
            <w:top w:val="none" w:sz="0" w:space="0" w:color="auto"/>
            <w:left w:val="none" w:sz="0" w:space="0" w:color="auto"/>
            <w:bottom w:val="none" w:sz="0" w:space="0" w:color="auto"/>
            <w:right w:val="none" w:sz="0" w:space="0" w:color="auto"/>
          </w:divBdr>
          <w:divsChild>
            <w:div w:id="571282422">
              <w:marLeft w:val="0"/>
              <w:marRight w:val="0"/>
              <w:marTop w:val="0"/>
              <w:marBottom w:val="120"/>
              <w:divBdr>
                <w:top w:val="none" w:sz="0" w:space="0" w:color="auto"/>
                <w:left w:val="none" w:sz="0" w:space="0" w:color="auto"/>
                <w:bottom w:val="none" w:sz="0" w:space="0" w:color="auto"/>
                <w:right w:val="none" w:sz="0" w:space="0" w:color="auto"/>
              </w:divBdr>
              <w:divsChild>
                <w:div w:id="1850873905">
                  <w:marLeft w:val="0"/>
                  <w:marRight w:val="0"/>
                  <w:marTop w:val="0"/>
                  <w:marBottom w:val="0"/>
                  <w:divBdr>
                    <w:top w:val="none" w:sz="0" w:space="0" w:color="auto"/>
                    <w:left w:val="none" w:sz="0" w:space="0" w:color="auto"/>
                    <w:bottom w:val="none" w:sz="0" w:space="0" w:color="auto"/>
                    <w:right w:val="none" w:sz="0" w:space="0" w:color="auto"/>
                  </w:divBdr>
                  <w:divsChild>
                    <w:div w:id="1964379890">
                      <w:marLeft w:val="0"/>
                      <w:marRight w:val="0"/>
                      <w:marTop w:val="0"/>
                      <w:marBottom w:val="0"/>
                      <w:divBdr>
                        <w:top w:val="none" w:sz="0" w:space="0" w:color="auto"/>
                        <w:left w:val="none" w:sz="0" w:space="0" w:color="auto"/>
                        <w:bottom w:val="none" w:sz="0" w:space="0" w:color="auto"/>
                        <w:right w:val="none" w:sz="0" w:space="0" w:color="auto"/>
                      </w:divBdr>
                      <w:divsChild>
                        <w:div w:id="1797676982">
                          <w:marLeft w:val="0"/>
                          <w:marRight w:val="0"/>
                          <w:marTop w:val="0"/>
                          <w:marBottom w:val="0"/>
                          <w:divBdr>
                            <w:top w:val="none" w:sz="0" w:space="0" w:color="auto"/>
                            <w:left w:val="single" w:sz="6" w:space="0" w:color="AFAFAF"/>
                            <w:bottom w:val="single" w:sz="6" w:space="0" w:color="AFAFAF"/>
                            <w:right w:val="single" w:sz="6" w:space="0" w:color="AFAFAF"/>
                          </w:divBdr>
                          <w:divsChild>
                            <w:div w:id="677000332">
                              <w:marLeft w:val="0"/>
                              <w:marRight w:val="0"/>
                              <w:marTop w:val="0"/>
                              <w:marBottom w:val="0"/>
                              <w:divBdr>
                                <w:top w:val="none" w:sz="0" w:space="0" w:color="auto"/>
                                <w:left w:val="none" w:sz="0" w:space="0" w:color="auto"/>
                                <w:bottom w:val="none" w:sz="0" w:space="0" w:color="auto"/>
                                <w:right w:val="none" w:sz="0" w:space="0" w:color="auto"/>
                              </w:divBdr>
                              <w:divsChild>
                                <w:div w:id="1519079010">
                                  <w:marLeft w:val="0"/>
                                  <w:marRight w:val="0"/>
                                  <w:marTop w:val="0"/>
                                  <w:marBottom w:val="0"/>
                                  <w:divBdr>
                                    <w:top w:val="none" w:sz="0" w:space="0" w:color="auto"/>
                                    <w:left w:val="none" w:sz="0" w:space="0" w:color="auto"/>
                                    <w:bottom w:val="none" w:sz="0" w:space="0" w:color="auto"/>
                                    <w:right w:val="none" w:sz="0" w:space="0" w:color="auto"/>
                                  </w:divBdr>
                                  <w:divsChild>
                                    <w:div w:id="1623613175">
                                      <w:marLeft w:val="0"/>
                                      <w:marRight w:val="0"/>
                                      <w:marTop w:val="0"/>
                                      <w:marBottom w:val="0"/>
                                      <w:divBdr>
                                        <w:top w:val="none" w:sz="0" w:space="0" w:color="auto"/>
                                        <w:left w:val="none" w:sz="0" w:space="0" w:color="auto"/>
                                        <w:bottom w:val="none" w:sz="0" w:space="0" w:color="auto"/>
                                        <w:right w:val="none" w:sz="0" w:space="0" w:color="auto"/>
                                      </w:divBdr>
                                      <w:divsChild>
                                        <w:div w:id="1392801920">
                                          <w:marLeft w:val="0"/>
                                          <w:marRight w:val="0"/>
                                          <w:marTop w:val="0"/>
                                          <w:marBottom w:val="0"/>
                                          <w:divBdr>
                                            <w:top w:val="none" w:sz="0" w:space="0" w:color="auto"/>
                                            <w:left w:val="none" w:sz="0" w:space="0" w:color="auto"/>
                                            <w:bottom w:val="none" w:sz="0" w:space="0" w:color="auto"/>
                                            <w:right w:val="none" w:sz="0" w:space="0" w:color="auto"/>
                                          </w:divBdr>
                                          <w:divsChild>
                                            <w:div w:id="341053630">
                                              <w:marLeft w:val="0"/>
                                              <w:marRight w:val="0"/>
                                              <w:marTop w:val="0"/>
                                              <w:marBottom w:val="0"/>
                                              <w:divBdr>
                                                <w:top w:val="none" w:sz="0" w:space="0" w:color="auto"/>
                                                <w:left w:val="none" w:sz="0" w:space="0" w:color="auto"/>
                                                <w:bottom w:val="none" w:sz="0" w:space="0" w:color="auto"/>
                                                <w:right w:val="none" w:sz="0" w:space="0" w:color="auto"/>
                                              </w:divBdr>
                                              <w:divsChild>
                                                <w:div w:id="1170027254">
                                                  <w:marLeft w:val="0"/>
                                                  <w:marRight w:val="0"/>
                                                  <w:marTop w:val="0"/>
                                                  <w:marBottom w:val="0"/>
                                                  <w:divBdr>
                                                    <w:top w:val="none" w:sz="0" w:space="0" w:color="auto"/>
                                                    <w:left w:val="none" w:sz="0" w:space="0" w:color="auto"/>
                                                    <w:bottom w:val="none" w:sz="0" w:space="0" w:color="auto"/>
                                                    <w:right w:val="none" w:sz="0" w:space="0" w:color="auto"/>
                                                  </w:divBdr>
                                                  <w:divsChild>
                                                    <w:div w:id="876623210">
                                                      <w:marLeft w:val="0"/>
                                                      <w:marRight w:val="0"/>
                                                      <w:marTop w:val="0"/>
                                                      <w:marBottom w:val="0"/>
                                                      <w:divBdr>
                                                        <w:top w:val="none" w:sz="0" w:space="0" w:color="auto"/>
                                                        <w:left w:val="none" w:sz="0" w:space="0" w:color="auto"/>
                                                        <w:bottom w:val="none" w:sz="0" w:space="0" w:color="auto"/>
                                                        <w:right w:val="none" w:sz="0" w:space="0" w:color="auto"/>
                                                      </w:divBdr>
                                                      <w:divsChild>
                                                        <w:div w:id="1462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346399">
      <w:bodyDiv w:val="1"/>
      <w:marLeft w:val="0"/>
      <w:marRight w:val="0"/>
      <w:marTop w:val="0"/>
      <w:marBottom w:val="0"/>
      <w:divBdr>
        <w:top w:val="none" w:sz="0" w:space="0" w:color="auto"/>
        <w:left w:val="none" w:sz="0" w:space="0" w:color="auto"/>
        <w:bottom w:val="none" w:sz="0" w:space="0" w:color="auto"/>
        <w:right w:val="none" w:sz="0" w:space="0" w:color="auto"/>
      </w:divBdr>
    </w:div>
    <w:div w:id="1648433800">
      <w:bodyDiv w:val="1"/>
      <w:marLeft w:val="0"/>
      <w:marRight w:val="0"/>
      <w:marTop w:val="0"/>
      <w:marBottom w:val="0"/>
      <w:divBdr>
        <w:top w:val="none" w:sz="0" w:space="0" w:color="auto"/>
        <w:left w:val="none" w:sz="0" w:space="0" w:color="auto"/>
        <w:bottom w:val="none" w:sz="0" w:space="0" w:color="auto"/>
        <w:right w:val="none" w:sz="0" w:space="0" w:color="auto"/>
      </w:divBdr>
    </w:div>
    <w:div w:id="1669284955">
      <w:bodyDiv w:val="1"/>
      <w:marLeft w:val="0"/>
      <w:marRight w:val="0"/>
      <w:marTop w:val="0"/>
      <w:marBottom w:val="0"/>
      <w:divBdr>
        <w:top w:val="none" w:sz="0" w:space="0" w:color="auto"/>
        <w:left w:val="none" w:sz="0" w:space="0" w:color="auto"/>
        <w:bottom w:val="none" w:sz="0" w:space="0" w:color="auto"/>
        <w:right w:val="none" w:sz="0" w:space="0" w:color="auto"/>
      </w:divBdr>
    </w:div>
    <w:div w:id="1702589123">
      <w:bodyDiv w:val="1"/>
      <w:marLeft w:val="0"/>
      <w:marRight w:val="0"/>
      <w:marTop w:val="0"/>
      <w:marBottom w:val="0"/>
      <w:divBdr>
        <w:top w:val="none" w:sz="0" w:space="0" w:color="auto"/>
        <w:left w:val="none" w:sz="0" w:space="0" w:color="auto"/>
        <w:bottom w:val="none" w:sz="0" w:space="0" w:color="auto"/>
        <w:right w:val="none" w:sz="0" w:space="0" w:color="auto"/>
      </w:divBdr>
    </w:div>
    <w:div w:id="1787626477">
      <w:bodyDiv w:val="1"/>
      <w:marLeft w:val="0"/>
      <w:marRight w:val="0"/>
      <w:marTop w:val="0"/>
      <w:marBottom w:val="0"/>
      <w:divBdr>
        <w:top w:val="none" w:sz="0" w:space="0" w:color="auto"/>
        <w:left w:val="none" w:sz="0" w:space="0" w:color="auto"/>
        <w:bottom w:val="none" w:sz="0" w:space="0" w:color="auto"/>
        <w:right w:val="none" w:sz="0" w:space="0" w:color="auto"/>
      </w:divBdr>
    </w:div>
    <w:div w:id="1788424496">
      <w:bodyDiv w:val="1"/>
      <w:marLeft w:val="0"/>
      <w:marRight w:val="0"/>
      <w:marTop w:val="0"/>
      <w:marBottom w:val="0"/>
      <w:divBdr>
        <w:top w:val="none" w:sz="0" w:space="0" w:color="auto"/>
        <w:left w:val="none" w:sz="0" w:space="0" w:color="auto"/>
        <w:bottom w:val="none" w:sz="0" w:space="0" w:color="auto"/>
        <w:right w:val="none" w:sz="0" w:space="0" w:color="auto"/>
      </w:divBdr>
    </w:div>
    <w:div w:id="1856530409">
      <w:bodyDiv w:val="1"/>
      <w:marLeft w:val="0"/>
      <w:marRight w:val="0"/>
      <w:marTop w:val="0"/>
      <w:marBottom w:val="0"/>
      <w:divBdr>
        <w:top w:val="none" w:sz="0" w:space="0" w:color="auto"/>
        <w:left w:val="none" w:sz="0" w:space="0" w:color="auto"/>
        <w:bottom w:val="none" w:sz="0" w:space="0" w:color="auto"/>
        <w:right w:val="none" w:sz="0" w:space="0" w:color="auto"/>
      </w:divBdr>
    </w:div>
    <w:div w:id="1892498373">
      <w:bodyDiv w:val="1"/>
      <w:marLeft w:val="0"/>
      <w:marRight w:val="0"/>
      <w:marTop w:val="0"/>
      <w:marBottom w:val="0"/>
      <w:divBdr>
        <w:top w:val="none" w:sz="0" w:space="0" w:color="auto"/>
        <w:left w:val="none" w:sz="0" w:space="0" w:color="auto"/>
        <w:bottom w:val="none" w:sz="0" w:space="0" w:color="auto"/>
        <w:right w:val="none" w:sz="0" w:space="0" w:color="auto"/>
      </w:divBdr>
    </w:div>
    <w:div w:id="20372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4D2A029E70754EAADCC285ADCA5A13" ma:contentTypeVersion="1" ma:contentTypeDescription="Create a new document." ma:contentTypeScope="" ma:versionID="a22edac08b90eec1c69b2467ca385526">
  <xsd:schema xmlns:xsd="http://www.w3.org/2001/XMLSchema" xmlns:xs="http://www.w3.org/2001/XMLSchema" xmlns:p="http://schemas.microsoft.com/office/2006/metadata/properties" xmlns:ns2="9ee31cbe-30cd-4bd8-9b71-83d7cf34e815" targetNamespace="http://schemas.microsoft.com/office/2006/metadata/properties" ma:root="true" ma:fieldsID="3eab2503bea0e0ab012a6575709ce4d2" ns2:_="">
    <xsd:import namespace="9ee31cbe-30cd-4bd8-9b71-83d7cf34e815"/>
    <xsd:element name="properties">
      <xsd:complexType>
        <xsd:sequence>
          <xsd:element name="documentManagement">
            <xsd:complexType>
              <xsd:all>
                <xsd:element ref="ns2:Sort_x002d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31cbe-30cd-4bd8-9b71-83d7cf34e815" elementFormDefault="qualified">
    <xsd:import namespace="http://schemas.microsoft.com/office/2006/documentManagement/types"/>
    <xsd:import namespace="http://schemas.microsoft.com/office/infopath/2007/PartnerControls"/>
    <xsd:element name="Sort_x002d_Order" ma:index="8" nillable="true" ma:displayName="Sort-Order" ma:internalName="Sort_x002d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d_Order xmlns="9ee31cbe-30cd-4bd8-9b71-83d7cf34e815">1800</Sort_x002d_Order>
  </documentManagement>
</p:properties>
</file>

<file path=customXml/itemProps1.xml><?xml version="1.0" encoding="utf-8"?>
<ds:datastoreItem xmlns:ds="http://schemas.openxmlformats.org/officeDocument/2006/customXml" ds:itemID="{62B3E1E8-8ADB-4EC7-9519-D604A4FD62D1}"/>
</file>

<file path=customXml/itemProps2.xml><?xml version="1.0" encoding="utf-8"?>
<ds:datastoreItem xmlns:ds="http://schemas.openxmlformats.org/officeDocument/2006/customXml" ds:itemID="{453745DA-D77F-40DF-969D-B95ECE41CCEE}"/>
</file>

<file path=customXml/itemProps3.xml><?xml version="1.0" encoding="utf-8"?>
<ds:datastoreItem xmlns:ds="http://schemas.openxmlformats.org/officeDocument/2006/customXml" ds:itemID="{6CD4F82B-4396-46E0-989F-44ECA33DE8C5}"/>
</file>

<file path=customXml/itemProps4.xml><?xml version="1.0" encoding="utf-8"?>
<ds:datastoreItem xmlns:ds="http://schemas.openxmlformats.org/officeDocument/2006/customXml" ds:itemID="{F4CCB3C6-7C97-41FE-9418-91340988981F}"/>
</file>

<file path=docProps/app.xml><?xml version="1.0" encoding="utf-8"?>
<Properties xmlns="http://schemas.openxmlformats.org/officeDocument/2006/extended-properties" xmlns:vt="http://schemas.openxmlformats.org/officeDocument/2006/docPropsVTypes">
  <Template>Normal</Template>
  <TotalTime>33</TotalTime>
  <Pages>24</Pages>
  <Words>9575</Words>
  <Characters>54582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AMPAR Form</vt:lpstr>
    </vt:vector>
  </TitlesOfParts>
  <Company>State of Louisiana</Company>
  <LinksUpToDate>false</LinksUpToDate>
  <CharactersWithSpaces>64029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 Form</dc:title>
  <dc:creator>Wade Lester</dc:creator>
  <cp:lastModifiedBy>Don Johnson</cp:lastModifiedBy>
  <cp:revision>4</cp:revision>
  <cp:lastPrinted>2022-12-02T19:23:00Z</cp:lastPrinted>
  <dcterms:created xsi:type="dcterms:W3CDTF">2023-11-13T15:48:00Z</dcterms:created>
  <dcterms:modified xsi:type="dcterms:W3CDTF">2023-11-17T14:22:00Z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0x010100614D2A029E70754EAADCC285ADCA5A13</vt:lpwstr>
  </property>
</Properties>
</file>